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ED6D3E" w14:textId="0283E4F7" w:rsidR="00B76A1E" w:rsidRDefault="00B76A1E" w:rsidP="00B76A1E">
      <w:pPr>
        <w:pStyle w:val="bStandard20"/>
        <w:spacing w:before="120" w:after="240"/>
        <w:rPr>
          <w:lang w:val="en-US"/>
        </w:rPr>
      </w:pPr>
      <w:r w:rsidRPr="00B76A1E">
        <w:rPr>
          <w:noProof/>
          <w:sz w:val="2"/>
          <w:szCs w:val="2"/>
          <w:lang w:val="en-US"/>
        </w:rPr>
        <w:t xml:space="preserve"> </w:t>
      </w:r>
      <w:r w:rsidRPr="00B76A1E">
        <w:rPr>
          <w:lang w:val="en-US"/>
        </w:rPr>
        <w:t>UPC</w:t>
      </w:r>
      <w:r w:rsidR="00C05BF7">
        <w:rPr>
          <w:lang w:val="en-US"/>
        </w:rPr>
        <w:t xml:space="preserve"> (CoA)</w:t>
      </w:r>
      <w:r w:rsidRPr="00B76A1E">
        <w:rPr>
          <w:lang w:val="en-US"/>
        </w:rPr>
        <w:t xml:space="preserve"> – </w:t>
      </w:r>
      <w:r w:rsidR="00AD3914">
        <w:rPr>
          <w:lang w:val="en-US"/>
        </w:rPr>
        <w:t>DYSON</w:t>
      </w:r>
      <w:r w:rsidR="00003B97">
        <w:rPr>
          <w:lang w:val="en-US"/>
        </w:rPr>
        <w:t xml:space="preserve"> V </w:t>
      </w:r>
      <w:r w:rsidR="00AD3914">
        <w:rPr>
          <w:lang w:val="en-US"/>
        </w:rPr>
        <w:t>DREAME</w:t>
      </w:r>
      <w:r w:rsidR="007A6954">
        <w:rPr>
          <w:lang w:val="en-US"/>
        </w:rPr>
        <w:t xml:space="preserve"> </w:t>
      </w:r>
      <w:r>
        <w:rPr>
          <w:lang w:val="en-US"/>
        </w:rPr>
        <w:t xml:space="preserve">– </w:t>
      </w:r>
      <w:r w:rsidR="00AD3914">
        <w:rPr>
          <w:lang w:val="en-US"/>
        </w:rPr>
        <w:t>REFERRAL TO THE CJEU</w:t>
      </w:r>
    </w:p>
    <w:p w14:paraId="6CA53941" w14:textId="4AD2EA5C" w:rsidR="00B76A1E" w:rsidRPr="00DE2415" w:rsidRDefault="00594450" w:rsidP="00594450">
      <w:pPr>
        <w:pStyle w:val="bStandard20"/>
        <w:spacing w:before="120" w:after="240"/>
        <w:rPr>
          <w:b/>
          <w:bCs/>
          <w:lang w:val="en-US" w:bidi="si-LK"/>
        </w:rPr>
      </w:pPr>
      <w:r w:rsidRPr="00594450">
        <w:rPr>
          <w:b/>
          <w:bCs/>
          <w:lang w:val="en-US" w:bidi="si-LK"/>
        </w:rPr>
        <w:t>Dyson Technology Limited</w:t>
      </w:r>
      <w:r>
        <w:rPr>
          <w:b/>
          <w:bCs/>
          <w:lang w:val="en-US" w:bidi="si-LK"/>
        </w:rPr>
        <w:t xml:space="preserve"> </w:t>
      </w:r>
      <w:r w:rsidR="00B60FD3" w:rsidRPr="005D6847">
        <w:rPr>
          <w:b/>
          <w:bCs/>
          <w:lang w:val="en-US" w:bidi="si-LK"/>
        </w:rPr>
        <w:t xml:space="preserve">v </w:t>
      </w:r>
      <w:proofErr w:type="spellStart"/>
      <w:r w:rsidRPr="00594450">
        <w:rPr>
          <w:b/>
          <w:bCs/>
          <w:lang w:val="en-US" w:bidi="si-LK"/>
        </w:rPr>
        <w:t>Dreame</w:t>
      </w:r>
      <w:proofErr w:type="spellEnd"/>
      <w:r w:rsidRPr="00594450">
        <w:rPr>
          <w:b/>
          <w:bCs/>
          <w:lang w:val="en-US" w:bidi="si-LK"/>
        </w:rPr>
        <w:t xml:space="preserve"> International</w:t>
      </w:r>
      <w:r w:rsidR="00DD79B6">
        <w:rPr>
          <w:b/>
          <w:bCs/>
          <w:lang w:val="en-US" w:bidi="si-LK"/>
        </w:rPr>
        <w:t xml:space="preserve"> (Hongkong) Limited</w:t>
      </w:r>
      <w:r>
        <w:rPr>
          <w:b/>
          <w:bCs/>
          <w:lang w:val="en-US" w:bidi="si-LK"/>
        </w:rPr>
        <w:t xml:space="preserve"> and</w:t>
      </w:r>
      <w:r w:rsidRPr="00594450">
        <w:rPr>
          <w:b/>
          <w:bCs/>
          <w:lang w:val="en-US" w:bidi="si-LK"/>
        </w:rPr>
        <w:t xml:space="preserve"> Eurep GmbH</w:t>
      </w:r>
      <w:r w:rsidR="00767ED4" w:rsidRPr="00606F08">
        <w:rPr>
          <w:b/>
          <w:bCs/>
          <w:lang w:val="en-US" w:bidi="si-LK"/>
        </w:rPr>
        <w:t xml:space="preserve"> </w:t>
      </w:r>
      <w:r w:rsidR="00B60FD3" w:rsidRPr="00DE2415">
        <w:rPr>
          <w:b/>
          <w:bCs/>
          <w:lang w:val="en-US" w:bidi="si-LK"/>
        </w:rPr>
        <w:t xml:space="preserve">(UPC, </w:t>
      </w:r>
      <w:r w:rsidR="00C05BF7">
        <w:rPr>
          <w:b/>
          <w:bCs/>
          <w:lang w:val="en-US" w:bidi="si-LK"/>
        </w:rPr>
        <w:t>Court of Appeal</w:t>
      </w:r>
      <w:r w:rsidR="007D0C5F">
        <w:rPr>
          <w:b/>
          <w:bCs/>
          <w:lang w:val="en-US" w:bidi="si-LK"/>
        </w:rPr>
        <w:t>, UPC</w:t>
      </w:r>
      <w:r w:rsidR="006D42FF">
        <w:rPr>
          <w:b/>
          <w:bCs/>
          <w:lang w:val="en-US" w:bidi="si-LK"/>
        </w:rPr>
        <w:t>_</w:t>
      </w:r>
      <w:r w:rsidR="007D0C5F">
        <w:rPr>
          <w:b/>
          <w:bCs/>
          <w:lang w:val="en-US" w:bidi="si-LK"/>
        </w:rPr>
        <w:t>C</w:t>
      </w:r>
      <w:r w:rsidR="006D42FF">
        <w:rPr>
          <w:b/>
          <w:bCs/>
          <w:lang w:val="en-US" w:bidi="si-LK"/>
        </w:rPr>
        <w:t>oA</w:t>
      </w:r>
      <w:r w:rsidR="007D0C5F">
        <w:rPr>
          <w:b/>
          <w:bCs/>
          <w:lang w:val="en-US" w:bidi="si-LK"/>
        </w:rPr>
        <w:t>_</w:t>
      </w:r>
      <w:r w:rsidR="00023396">
        <w:rPr>
          <w:b/>
          <w:bCs/>
          <w:lang w:val="en-US" w:bidi="si-LK"/>
        </w:rPr>
        <w:t>789</w:t>
      </w:r>
      <w:r w:rsidR="007D0C5F">
        <w:rPr>
          <w:b/>
          <w:bCs/>
          <w:lang w:val="en-US" w:bidi="si-LK"/>
        </w:rPr>
        <w:t>/202</w:t>
      </w:r>
      <w:r w:rsidR="006B74F5">
        <w:rPr>
          <w:b/>
          <w:bCs/>
          <w:lang w:val="en-US" w:bidi="si-LK"/>
        </w:rPr>
        <w:t>5</w:t>
      </w:r>
      <w:r w:rsidR="00023396">
        <w:rPr>
          <w:b/>
          <w:bCs/>
          <w:lang w:val="en-US" w:bidi="si-LK"/>
        </w:rPr>
        <w:t xml:space="preserve"> and UPC_CoA_813/2025</w:t>
      </w:r>
      <w:r w:rsidR="00B60FD3" w:rsidRPr="00DE2415">
        <w:rPr>
          <w:b/>
          <w:bCs/>
          <w:lang w:val="en-US" w:bidi="si-LK"/>
        </w:rPr>
        <w:t>)</w:t>
      </w:r>
      <w:r w:rsidR="00E71815" w:rsidRPr="00DE2415">
        <w:rPr>
          <w:b/>
          <w:bCs/>
          <w:lang w:val="en-US" w:bidi="si-LK"/>
        </w:rPr>
        <w:t xml:space="preserve"> </w:t>
      </w:r>
      <w:r w:rsidR="00757A9E">
        <w:rPr>
          <w:b/>
          <w:bCs/>
          <w:lang w:val="en-US" w:bidi="si-LK"/>
        </w:rPr>
        <w:t xml:space="preserve">– </w:t>
      </w:r>
      <w:r w:rsidR="00023396">
        <w:rPr>
          <w:b/>
          <w:bCs/>
          <w:lang w:val="en-US" w:bidi="si-LK"/>
        </w:rPr>
        <w:t xml:space="preserve">referral </w:t>
      </w:r>
      <w:r w:rsidR="007B3DED">
        <w:rPr>
          <w:b/>
          <w:bCs/>
          <w:lang w:val="en-US" w:bidi="si-LK"/>
        </w:rPr>
        <w:t xml:space="preserve">for a preliminary ruling </w:t>
      </w:r>
      <w:r w:rsidR="007B3DED" w:rsidRPr="007B3DED">
        <w:rPr>
          <w:b/>
          <w:bCs/>
          <w:lang w:val="en-US" w:bidi="si-LK"/>
        </w:rPr>
        <w:t>by the Court of Justice of the European Unio</w:t>
      </w:r>
      <w:r w:rsidR="007B3DED">
        <w:rPr>
          <w:b/>
          <w:bCs/>
          <w:lang w:val="en-US" w:bidi="si-LK"/>
        </w:rPr>
        <w:t>n</w:t>
      </w:r>
      <w:r w:rsidR="006354BD">
        <w:rPr>
          <w:b/>
          <w:bCs/>
          <w:lang w:val="en-US" w:bidi="si-LK"/>
        </w:rPr>
        <w:t xml:space="preserve"> (CJEU)</w:t>
      </w:r>
    </w:p>
    <w:p w14:paraId="7B6CFDE8" w14:textId="0661CF24" w:rsidR="00322039" w:rsidRPr="00DE2415" w:rsidRDefault="00DE2415" w:rsidP="00B76A1E">
      <w:pPr>
        <w:pStyle w:val="bStandard20"/>
        <w:spacing w:before="120" w:after="240"/>
        <w:rPr>
          <w:b/>
          <w:bCs/>
          <w:lang w:bidi="si-LK"/>
        </w:rPr>
      </w:pPr>
      <w:r w:rsidRPr="00DE2415">
        <w:rPr>
          <w:b/>
          <w:bCs/>
          <w:lang w:bidi="si-LK"/>
        </w:rPr>
        <w:t xml:space="preserve">Dr. Michael Kobler, </w:t>
      </w:r>
      <w:proofErr w:type="spellStart"/>
      <w:r w:rsidRPr="00DE2415">
        <w:rPr>
          <w:b/>
          <w:bCs/>
          <w:lang w:bidi="si-LK"/>
        </w:rPr>
        <w:t>Bardehle</w:t>
      </w:r>
      <w:proofErr w:type="spellEnd"/>
      <w:r w:rsidRPr="00DE2415">
        <w:rPr>
          <w:b/>
          <w:bCs/>
          <w:lang w:bidi="si-LK"/>
        </w:rPr>
        <w:t xml:space="preserve"> Pagenberg, Munich</w:t>
      </w:r>
    </w:p>
    <w:p w14:paraId="2F71BF6C" w14:textId="1680490D" w:rsidR="006354BD" w:rsidRDefault="000E11D2" w:rsidP="00C12D1C">
      <w:pPr>
        <w:pStyle w:val="bStandard20"/>
        <w:spacing w:before="120" w:after="240"/>
        <w:rPr>
          <w:lang w:val="en-US" w:bidi="si-LK"/>
        </w:rPr>
      </w:pPr>
      <w:r>
        <w:rPr>
          <w:lang w:val="en-US" w:bidi="si-LK"/>
        </w:rPr>
        <w:t xml:space="preserve">By </w:t>
      </w:r>
      <w:r w:rsidR="00C35909">
        <w:rPr>
          <w:lang w:val="en-US" w:bidi="si-LK"/>
        </w:rPr>
        <w:t>decision</w:t>
      </w:r>
      <w:r>
        <w:rPr>
          <w:lang w:val="en-US" w:bidi="si-LK"/>
        </w:rPr>
        <w:t xml:space="preserve"> of </w:t>
      </w:r>
      <w:r w:rsidR="00704C3A">
        <w:rPr>
          <w:lang w:val="en-US" w:bidi="si-LK"/>
        </w:rPr>
        <w:t>6</w:t>
      </w:r>
      <w:r w:rsidR="008B685A">
        <w:rPr>
          <w:lang w:val="en-US" w:bidi="si-LK"/>
        </w:rPr>
        <w:t xml:space="preserve"> </w:t>
      </w:r>
      <w:r w:rsidR="00704C3A">
        <w:rPr>
          <w:lang w:val="en-US" w:bidi="si-LK"/>
        </w:rPr>
        <w:t>March</w:t>
      </w:r>
      <w:r w:rsidR="003E2C70">
        <w:rPr>
          <w:lang w:val="en-US" w:bidi="si-LK"/>
        </w:rPr>
        <w:t xml:space="preserve"> </w:t>
      </w:r>
      <w:r w:rsidR="008B685A">
        <w:rPr>
          <w:lang w:val="en-US" w:bidi="si-LK"/>
        </w:rPr>
        <w:t>202</w:t>
      </w:r>
      <w:r w:rsidR="00850322">
        <w:rPr>
          <w:lang w:val="en-US" w:bidi="si-LK"/>
        </w:rPr>
        <w:t>5</w:t>
      </w:r>
      <w:r w:rsidR="008B685A">
        <w:rPr>
          <w:lang w:val="en-US" w:bidi="si-LK"/>
        </w:rPr>
        <w:t xml:space="preserve">, </w:t>
      </w:r>
      <w:r w:rsidR="003C62DB">
        <w:rPr>
          <w:lang w:val="en-US" w:bidi="si-LK"/>
        </w:rPr>
        <w:t xml:space="preserve">the </w:t>
      </w:r>
      <w:r w:rsidR="00C35909">
        <w:rPr>
          <w:lang w:val="en-US" w:bidi="si-LK"/>
        </w:rPr>
        <w:t>Court of Appel</w:t>
      </w:r>
      <w:r w:rsidR="00721C30">
        <w:rPr>
          <w:lang w:val="en-US" w:bidi="si-LK"/>
        </w:rPr>
        <w:t xml:space="preserve"> (CoA)</w:t>
      </w:r>
      <w:r w:rsidR="00C35909">
        <w:rPr>
          <w:lang w:val="en-US" w:bidi="si-LK"/>
        </w:rPr>
        <w:t xml:space="preserve"> </w:t>
      </w:r>
      <w:r w:rsidR="00704C3A">
        <w:rPr>
          <w:lang w:val="en-US" w:bidi="si-LK"/>
        </w:rPr>
        <w:t xml:space="preserve">stayed the </w:t>
      </w:r>
      <w:r w:rsidR="00AB2F4A">
        <w:rPr>
          <w:lang w:val="en-US" w:bidi="si-LK"/>
        </w:rPr>
        <w:t xml:space="preserve">appeal proceedings </w:t>
      </w:r>
      <w:r w:rsidR="00F07441">
        <w:rPr>
          <w:lang w:val="en-US" w:bidi="si-LK"/>
        </w:rPr>
        <w:t xml:space="preserve">regarding an </w:t>
      </w:r>
      <w:r w:rsidR="00EA361A">
        <w:rPr>
          <w:lang w:val="en-US" w:bidi="si-LK"/>
        </w:rPr>
        <w:t>action</w:t>
      </w:r>
      <w:r w:rsidR="00F07441">
        <w:rPr>
          <w:lang w:val="en-US" w:bidi="si-LK"/>
        </w:rPr>
        <w:t xml:space="preserve"> for provisional measures </w:t>
      </w:r>
      <w:r w:rsidR="0046467F">
        <w:rPr>
          <w:lang w:val="en-US" w:bidi="si-LK"/>
        </w:rPr>
        <w:t>by Dyson</w:t>
      </w:r>
      <w:r w:rsidR="009D2207">
        <w:rPr>
          <w:lang w:val="en-US" w:bidi="si-LK"/>
        </w:rPr>
        <w:t xml:space="preserve"> to the extent that they concerned</w:t>
      </w:r>
      <w:r w:rsidR="00D376FE">
        <w:rPr>
          <w:lang w:val="en-US" w:bidi="si-LK"/>
        </w:rPr>
        <w:t xml:space="preserve"> </w:t>
      </w:r>
      <w:proofErr w:type="spellStart"/>
      <w:r w:rsidR="00C80F28">
        <w:rPr>
          <w:lang w:val="en-US" w:bidi="si-LK"/>
        </w:rPr>
        <w:t>Dream</w:t>
      </w:r>
      <w:r w:rsidR="00D67555">
        <w:rPr>
          <w:lang w:val="en-US" w:bidi="si-LK"/>
        </w:rPr>
        <w:t>e</w:t>
      </w:r>
      <w:proofErr w:type="spellEnd"/>
      <w:r w:rsidR="00D67555">
        <w:rPr>
          <w:lang w:val="en-US" w:bidi="si-LK"/>
        </w:rPr>
        <w:t xml:space="preserve"> International’s </w:t>
      </w:r>
      <w:r w:rsidR="002D3E40">
        <w:rPr>
          <w:lang w:val="en-US" w:bidi="si-LK"/>
        </w:rPr>
        <w:t>activities in Spain as well as Eurep</w:t>
      </w:r>
      <w:r w:rsidR="00F47796">
        <w:rPr>
          <w:lang w:val="en-US" w:bidi="si-LK"/>
        </w:rPr>
        <w:t>’s activities</w:t>
      </w:r>
      <w:r w:rsidR="00D1234C">
        <w:rPr>
          <w:lang w:val="en-US" w:bidi="si-LK"/>
        </w:rPr>
        <w:t xml:space="preserve"> in general</w:t>
      </w:r>
      <w:r w:rsidR="002D3E40">
        <w:rPr>
          <w:lang w:val="en-US" w:bidi="si-LK"/>
        </w:rPr>
        <w:t xml:space="preserve">, and – for the first time (!) – referred </w:t>
      </w:r>
      <w:r w:rsidR="006967EF">
        <w:rPr>
          <w:lang w:val="en-US" w:bidi="si-LK"/>
        </w:rPr>
        <w:t xml:space="preserve">four questions regarding the UPC’s international jurisdiction to the </w:t>
      </w:r>
      <w:r w:rsidR="006354BD">
        <w:rPr>
          <w:lang w:val="en-US" w:bidi="si-LK"/>
        </w:rPr>
        <w:t xml:space="preserve">CJEU. </w:t>
      </w:r>
      <w:r w:rsidR="005945FE">
        <w:rPr>
          <w:lang w:val="en-US" w:bidi="si-LK"/>
        </w:rPr>
        <w:t>To the extent that the</w:t>
      </w:r>
      <w:r w:rsidR="003E508D">
        <w:rPr>
          <w:lang w:val="en-US" w:bidi="si-LK"/>
        </w:rPr>
        <w:t xml:space="preserve"> appeal concerned</w:t>
      </w:r>
      <w:r w:rsidR="005945FE">
        <w:rPr>
          <w:lang w:val="en-US" w:bidi="si-LK"/>
        </w:rPr>
        <w:t xml:space="preserve"> </w:t>
      </w:r>
      <w:r w:rsidR="002E172D">
        <w:rPr>
          <w:lang w:val="en-US" w:bidi="si-LK"/>
        </w:rPr>
        <w:t xml:space="preserve">the other two Defendants in the </w:t>
      </w:r>
      <w:r w:rsidR="00F95206">
        <w:rPr>
          <w:lang w:val="en-US" w:bidi="si-LK"/>
        </w:rPr>
        <w:t>action</w:t>
      </w:r>
      <w:r w:rsidR="002E172D">
        <w:rPr>
          <w:lang w:val="en-US" w:bidi="si-LK"/>
        </w:rPr>
        <w:t xml:space="preserve"> for provisional measures (</w:t>
      </w:r>
      <w:proofErr w:type="spellStart"/>
      <w:r w:rsidR="00F95206" w:rsidRPr="00F95206">
        <w:rPr>
          <w:lang w:val="en-US" w:bidi="si-LK"/>
        </w:rPr>
        <w:t>Teqphone</w:t>
      </w:r>
      <w:proofErr w:type="spellEnd"/>
      <w:r w:rsidR="00F95206" w:rsidRPr="00F95206">
        <w:rPr>
          <w:lang w:val="en-US" w:bidi="si-LK"/>
        </w:rPr>
        <w:t xml:space="preserve"> GmbH and </w:t>
      </w:r>
      <w:proofErr w:type="spellStart"/>
      <w:r w:rsidR="00F95206" w:rsidRPr="00F95206">
        <w:rPr>
          <w:lang w:val="en-US" w:bidi="si-LK"/>
        </w:rPr>
        <w:t>Dreame</w:t>
      </w:r>
      <w:proofErr w:type="spellEnd"/>
      <w:r w:rsidR="00F95206" w:rsidRPr="00F95206">
        <w:rPr>
          <w:lang w:val="en-US" w:bidi="si-LK"/>
        </w:rPr>
        <w:t xml:space="preserve"> Technology AB</w:t>
      </w:r>
      <w:r w:rsidR="00F95206">
        <w:rPr>
          <w:lang w:val="en-US" w:bidi="si-LK"/>
        </w:rPr>
        <w:t>)</w:t>
      </w:r>
      <w:r w:rsidR="0001249D">
        <w:rPr>
          <w:lang w:val="en-US" w:bidi="si-LK"/>
        </w:rPr>
        <w:t xml:space="preserve"> and </w:t>
      </w:r>
      <w:proofErr w:type="spellStart"/>
      <w:r w:rsidR="0001249D">
        <w:rPr>
          <w:lang w:val="en-US" w:bidi="si-LK"/>
        </w:rPr>
        <w:t>Dreame</w:t>
      </w:r>
      <w:proofErr w:type="spellEnd"/>
      <w:r w:rsidR="0001249D">
        <w:rPr>
          <w:lang w:val="en-US" w:bidi="si-LK"/>
        </w:rPr>
        <w:t xml:space="preserve"> International’s activities within the UPC territory, the </w:t>
      </w:r>
      <w:r w:rsidR="00721C30">
        <w:rPr>
          <w:lang w:val="en-US" w:bidi="si-LK"/>
        </w:rPr>
        <w:t xml:space="preserve">CoA issued </w:t>
      </w:r>
      <w:r w:rsidR="00620AED">
        <w:rPr>
          <w:lang w:val="en-US" w:bidi="si-LK"/>
        </w:rPr>
        <w:t>a</w:t>
      </w:r>
      <w:r w:rsidR="00285B1A">
        <w:rPr>
          <w:lang w:val="en-US" w:bidi="si-LK"/>
        </w:rPr>
        <w:t xml:space="preserve"> separate</w:t>
      </w:r>
      <w:r w:rsidR="00620AED">
        <w:rPr>
          <w:lang w:val="en-US" w:bidi="si-LK"/>
        </w:rPr>
        <w:t xml:space="preserve"> </w:t>
      </w:r>
      <w:r w:rsidR="00285B1A">
        <w:rPr>
          <w:lang w:val="en-US" w:bidi="si-LK"/>
        </w:rPr>
        <w:t>injunction order on the same day.</w:t>
      </w:r>
    </w:p>
    <w:p w14:paraId="63BA347B" w14:textId="0820B680" w:rsidR="000765AF" w:rsidRPr="000765AF" w:rsidRDefault="000765AF" w:rsidP="000765AF">
      <w:pPr>
        <w:rPr>
          <w:b/>
          <w:bCs/>
          <w:lang w:val="en-US" w:bidi="si-LK"/>
        </w:rPr>
      </w:pPr>
      <w:r>
        <w:rPr>
          <w:b/>
          <w:bCs/>
          <w:lang w:val="en-US" w:bidi="si-LK"/>
        </w:rPr>
        <w:t>Referred questions</w:t>
      </w:r>
    </w:p>
    <w:p w14:paraId="04248D09" w14:textId="1A91A6A3" w:rsidR="004C3652" w:rsidRDefault="00577EC0" w:rsidP="00601014">
      <w:pPr>
        <w:pStyle w:val="bStandard20"/>
        <w:spacing w:before="120" w:after="240"/>
        <w:rPr>
          <w:lang w:val="en-US" w:bidi="si-LK"/>
        </w:rPr>
      </w:pPr>
      <w:r>
        <w:rPr>
          <w:lang w:val="en-US" w:bidi="si-LK"/>
        </w:rPr>
        <w:t>The four questions referred to the CJEU concern the interpretation of</w:t>
      </w:r>
      <w:r w:rsidR="00A44C64">
        <w:rPr>
          <w:lang w:val="en-US" w:bidi="si-LK"/>
        </w:rPr>
        <w:t xml:space="preserve"> </w:t>
      </w:r>
      <w:r w:rsidR="00F00119">
        <w:rPr>
          <w:lang w:val="en-US" w:bidi="si-LK"/>
        </w:rPr>
        <w:t xml:space="preserve">the </w:t>
      </w:r>
      <w:r w:rsidR="00F00119" w:rsidRPr="00A44C64">
        <w:rPr>
          <w:lang w:val="en-US" w:bidi="si-LK"/>
        </w:rPr>
        <w:t>(recast)</w:t>
      </w:r>
      <w:r w:rsidR="00F00119">
        <w:rPr>
          <w:lang w:val="en-US" w:bidi="si-LK"/>
        </w:rPr>
        <w:t xml:space="preserve"> </w:t>
      </w:r>
      <w:r w:rsidR="00A44C64">
        <w:rPr>
          <w:lang w:val="en-US" w:bidi="si-LK"/>
        </w:rPr>
        <w:t>Regulation (EU) No 1215/20</w:t>
      </w:r>
      <w:r w:rsidR="00F00119">
        <w:rPr>
          <w:lang w:val="en-US" w:bidi="si-LK"/>
        </w:rPr>
        <w:t>12</w:t>
      </w:r>
      <w:r w:rsidR="00601014">
        <w:rPr>
          <w:lang w:val="en-US" w:bidi="si-LK"/>
        </w:rPr>
        <w:t xml:space="preserve"> </w:t>
      </w:r>
      <w:r w:rsidR="00601014" w:rsidRPr="00601014">
        <w:rPr>
          <w:lang w:val="en-US" w:bidi="si-LK"/>
        </w:rPr>
        <w:t xml:space="preserve">of the European Parliament and of the Council of 12 December 2012 </w:t>
      </w:r>
      <w:r w:rsidR="00A44C64" w:rsidRPr="00A44C64">
        <w:rPr>
          <w:lang w:val="en-US" w:bidi="si-LK"/>
        </w:rPr>
        <w:t xml:space="preserve">on jurisdiction and the recognition and enforcement of judgments in civil and commercial matters </w:t>
      </w:r>
      <w:r w:rsidR="00F00119">
        <w:rPr>
          <w:lang w:val="en-US" w:bidi="si-LK"/>
        </w:rPr>
        <w:t>(</w:t>
      </w:r>
      <w:r w:rsidR="00784E15" w:rsidRPr="00784E15">
        <w:rPr>
          <w:lang w:val="en-US" w:bidi="si-LK"/>
        </w:rPr>
        <w:t>Regulation 1215/2012</w:t>
      </w:r>
      <w:r w:rsidR="00784E15">
        <w:rPr>
          <w:lang w:val="en-US" w:bidi="si-LK"/>
        </w:rPr>
        <w:t xml:space="preserve">, also known as </w:t>
      </w:r>
      <w:r w:rsidR="00784E15" w:rsidRPr="001A2588">
        <w:rPr>
          <w:i/>
          <w:iCs/>
          <w:lang w:val="en-US" w:bidi="si-LK"/>
        </w:rPr>
        <w:t xml:space="preserve">“Brussels </w:t>
      </w:r>
      <w:proofErr w:type="spellStart"/>
      <w:r w:rsidR="00784E15" w:rsidRPr="001A2588">
        <w:rPr>
          <w:i/>
          <w:iCs/>
          <w:lang w:val="en-US" w:bidi="si-LK"/>
        </w:rPr>
        <w:t>Ia</w:t>
      </w:r>
      <w:proofErr w:type="spellEnd"/>
      <w:r w:rsidR="000B1F11">
        <w:rPr>
          <w:i/>
          <w:iCs/>
          <w:lang w:val="en-US" w:bidi="si-LK"/>
        </w:rPr>
        <w:t xml:space="preserve"> (Regulation</w:t>
      </w:r>
      <w:r w:rsidR="00784E15" w:rsidRPr="001A2588">
        <w:rPr>
          <w:i/>
          <w:iCs/>
          <w:lang w:val="en-US" w:bidi="si-LK"/>
        </w:rPr>
        <w:t>”</w:t>
      </w:r>
      <w:r w:rsidR="003F7976">
        <w:rPr>
          <w:lang w:val="en-US" w:bidi="si-LK"/>
        </w:rPr>
        <w:t xml:space="preserve">) and </w:t>
      </w:r>
      <w:r w:rsidR="00722579">
        <w:rPr>
          <w:lang w:val="en-US" w:bidi="si-LK"/>
        </w:rPr>
        <w:t xml:space="preserve">of the </w:t>
      </w:r>
      <w:r w:rsidR="00722579" w:rsidRPr="00722579">
        <w:rPr>
          <w:lang w:val="en-US" w:bidi="si-LK"/>
        </w:rPr>
        <w:t xml:space="preserve">Directive 2004/48/EC of the European Parliament and of the Council of 29 April 2004 on the enforcement of </w:t>
      </w:r>
      <w:r w:rsidR="00722579">
        <w:rPr>
          <w:lang w:val="en-US" w:bidi="si-LK"/>
        </w:rPr>
        <w:t xml:space="preserve"> </w:t>
      </w:r>
      <w:r w:rsidR="00722579" w:rsidRPr="00722579">
        <w:rPr>
          <w:lang w:val="en-US" w:bidi="si-LK"/>
        </w:rPr>
        <w:t>intellectual property rights (</w:t>
      </w:r>
      <w:r w:rsidR="001A2588">
        <w:rPr>
          <w:lang w:val="en-US" w:bidi="si-LK"/>
        </w:rPr>
        <w:t xml:space="preserve">Directive 2004/48, </w:t>
      </w:r>
      <w:r w:rsidR="000B1F11">
        <w:rPr>
          <w:lang w:val="en-US" w:bidi="si-LK"/>
        </w:rPr>
        <w:t xml:space="preserve">also known as </w:t>
      </w:r>
      <w:r w:rsidR="000B1F11" w:rsidRPr="000B1F11">
        <w:rPr>
          <w:i/>
          <w:lang w:val="en-US" w:bidi="si-LK"/>
        </w:rPr>
        <w:t>“</w:t>
      </w:r>
      <w:r w:rsidR="00722579" w:rsidRPr="000B1F11">
        <w:rPr>
          <w:i/>
          <w:lang w:val="en-US" w:bidi="si-LK"/>
        </w:rPr>
        <w:t>Enforcement Directive</w:t>
      </w:r>
      <w:r w:rsidR="000B1F11" w:rsidRPr="000B1F11">
        <w:rPr>
          <w:i/>
          <w:lang w:val="en-US" w:bidi="si-LK"/>
        </w:rPr>
        <w:t>”</w:t>
      </w:r>
      <w:r w:rsidR="00722579" w:rsidRPr="00722579">
        <w:rPr>
          <w:lang w:val="en-US" w:bidi="si-LK"/>
        </w:rPr>
        <w:t>)</w:t>
      </w:r>
      <w:r w:rsidR="000765AF">
        <w:rPr>
          <w:lang w:val="en-US" w:bidi="si-LK"/>
        </w:rPr>
        <w:t>:</w:t>
      </w:r>
    </w:p>
    <w:p w14:paraId="0B29563E" w14:textId="09BCABA2" w:rsidR="00545B7C" w:rsidRPr="006D154B" w:rsidRDefault="006D154B" w:rsidP="00784E15">
      <w:pPr>
        <w:pStyle w:val="bStandard20"/>
        <w:numPr>
          <w:ilvl w:val="0"/>
          <w:numId w:val="3"/>
        </w:numPr>
        <w:spacing w:before="120" w:after="240"/>
        <w:ind w:left="624" w:hanging="624"/>
        <w:rPr>
          <w:lang w:val="en-US" w:bidi="si-LK"/>
        </w:rPr>
      </w:pPr>
      <w:r w:rsidRPr="006D154B">
        <w:rPr>
          <w:lang w:val="en-US" w:bidi="si-LK"/>
        </w:rPr>
        <w:t xml:space="preserve">Must Article 8(1) in conjunction with Article 71b(2) of Regulation 1215/2012 be interpreted as meaning that a situation where, in proceedings before a common court within the meaning of Article 71a(2) of Regulation </w:t>
      </w:r>
      <w:r w:rsidRPr="006D154B">
        <w:rPr>
          <w:lang w:val="en-US" w:bidi="si-LK"/>
        </w:rPr>
        <w:lastRenderedPageBreak/>
        <w:t xml:space="preserve">1215/2012, a first company that is established in a third State is alleged to have committed an infringement of a national part of a European patent which is in force in an EU Member State that is not party to the instrument establishing the common court, and a second company that is established in an EU Member State that is party to the instrument establishing the common court is alleged to be an intermediary whose services are used by the first company to infringe in the EU Member State that is not party to the instrument establishing the common court, is capable of leading to </w:t>
      </w:r>
      <w:r w:rsidRPr="003E7AF5">
        <w:rPr>
          <w:i/>
          <w:iCs/>
          <w:lang w:val="en-US" w:bidi="si-LK"/>
        </w:rPr>
        <w:t xml:space="preserve">“irreconcilable judgments” </w:t>
      </w:r>
      <w:r w:rsidRPr="006D154B">
        <w:rPr>
          <w:lang w:val="en-US" w:bidi="si-LK"/>
        </w:rPr>
        <w:t>resulting from separate proceedings as referred to in Article 8(1) Regulation 1215/2012?</w:t>
      </w:r>
    </w:p>
    <w:p w14:paraId="4C579DF0" w14:textId="77777777" w:rsidR="0042060D" w:rsidRDefault="00D816E7" w:rsidP="0042060D">
      <w:pPr>
        <w:pStyle w:val="bStandard20"/>
        <w:numPr>
          <w:ilvl w:val="0"/>
          <w:numId w:val="3"/>
        </w:numPr>
        <w:spacing w:before="120" w:after="240"/>
        <w:ind w:left="624" w:hanging="624"/>
        <w:rPr>
          <w:lang w:val="en-US" w:bidi="si-LK"/>
        </w:rPr>
      </w:pPr>
      <w:r w:rsidRPr="00D816E7">
        <w:rPr>
          <w:lang w:val="en-US" w:bidi="si-LK"/>
        </w:rPr>
        <w:t>Must Article 71b(2), second sentence, of Regulation 1215/2012 be interpreted as meaning that a common court has jurisdiction in relation to an action for provisional measures against a company established in a third State that is alleged to have infringed a European patent in force in an EU Member State that is not party to the instrument establishing the common court, and in some or all EU Member States that are party to the instrument establishing the common court by offering the same products in all those EU Member States through websites that are identical apart from the language?</w:t>
      </w:r>
    </w:p>
    <w:p w14:paraId="47BE83A6" w14:textId="77777777" w:rsidR="0042060D" w:rsidRDefault="0042060D" w:rsidP="0042060D">
      <w:pPr>
        <w:pStyle w:val="bStandard20"/>
        <w:numPr>
          <w:ilvl w:val="0"/>
          <w:numId w:val="3"/>
        </w:numPr>
        <w:spacing w:before="120" w:after="240"/>
        <w:ind w:left="624" w:hanging="624"/>
        <w:rPr>
          <w:lang w:val="en-US" w:bidi="si-LK"/>
        </w:rPr>
      </w:pPr>
      <w:r w:rsidRPr="0042060D">
        <w:rPr>
          <w:lang w:val="en-US" w:bidi="si-LK"/>
        </w:rPr>
        <w:t>Is the fact that the company uses the services of a company that is established in an EU Member State that is party to the instrument establishing the common court in order to infringe a relevant circumstance in answering this second question?</w:t>
      </w:r>
    </w:p>
    <w:p w14:paraId="7EC325F1" w14:textId="296CCC48" w:rsidR="0042060D" w:rsidRPr="0042060D" w:rsidRDefault="0042060D" w:rsidP="0042060D">
      <w:pPr>
        <w:pStyle w:val="bStandard20"/>
        <w:numPr>
          <w:ilvl w:val="0"/>
          <w:numId w:val="3"/>
        </w:numPr>
        <w:spacing w:before="120" w:after="240"/>
        <w:ind w:left="624" w:hanging="624"/>
        <w:rPr>
          <w:lang w:val="en-US" w:bidi="si-LK"/>
        </w:rPr>
      </w:pPr>
      <w:r w:rsidRPr="0042060D">
        <w:rPr>
          <w:lang w:val="en-US" w:bidi="si-LK"/>
        </w:rPr>
        <w:t>Does Article 9(1)(a) of Directive 2004/48 or any other provision of Union law preclude case-law of a national or common court under which an interlocutory injunction aimed at preventing or prohibiting infringement of a patent by a third party by placing products on the market to which</w:t>
      </w:r>
      <w:r w:rsidR="00E87F1B" w:rsidRPr="00E87F1B">
        <w:rPr>
          <w:lang w:val="en-US"/>
        </w:rPr>
        <w:t xml:space="preserve"> </w:t>
      </w:r>
      <w:r w:rsidR="00E87F1B" w:rsidRPr="00E87F1B">
        <w:rPr>
          <w:lang w:val="en-US" w:bidi="si-LK"/>
        </w:rPr>
        <w:t xml:space="preserve">Regulation 2023/988 and 2019/1020 apply may be granted against an </w:t>
      </w:r>
      <w:proofErr w:type="spellStart"/>
      <w:r w:rsidR="00E87F1B" w:rsidRPr="00E87F1B">
        <w:rPr>
          <w:lang w:val="en-US" w:bidi="si-LK"/>
        </w:rPr>
        <w:t>authorised</w:t>
      </w:r>
      <w:proofErr w:type="spellEnd"/>
      <w:r w:rsidR="00E87F1B" w:rsidRPr="00E87F1B">
        <w:rPr>
          <w:lang w:val="en-US" w:bidi="si-LK"/>
        </w:rPr>
        <w:t xml:space="preserve"> representative that performs the tasks laid down in these Regulations on behalf of the third party?</w:t>
      </w:r>
    </w:p>
    <w:p w14:paraId="576FFF74" w14:textId="77777777" w:rsidR="00C30D3B" w:rsidRPr="00007AA3" w:rsidRDefault="00C30D3B" w:rsidP="00C30D3B">
      <w:pPr>
        <w:pStyle w:val="bStandard20"/>
        <w:spacing w:before="120" w:after="240"/>
        <w:ind w:left="624"/>
        <w:rPr>
          <w:lang w:val="en-US" w:bidi="si-LK"/>
        </w:rPr>
      </w:pPr>
    </w:p>
    <w:p w14:paraId="67423684" w14:textId="1E44ADA5" w:rsidR="002C5144" w:rsidRPr="00CC33DA" w:rsidRDefault="00A83B92" w:rsidP="000E31C0">
      <w:pPr>
        <w:rPr>
          <w:b/>
          <w:bCs/>
          <w:lang w:val="en-US" w:bidi="si-LK"/>
        </w:rPr>
      </w:pPr>
      <w:r>
        <w:rPr>
          <w:b/>
          <w:bCs/>
          <w:lang w:val="en-US" w:bidi="si-LK"/>
        </w:rPr>
        <w:t>First instance decision</w:t>
      </w:r>
      <w:r w:rsidRPr="002C5144">
        <w:rPr>
          <w:b/>
          <w:bCs/>
          <w:lang w:val="en-US" w:bidi="si-LK"/>
        </w:rPr>
        <w:t xml:space="preserve"> </w:t>
      </w:r>
      <w:r>
        <w:rPr>
          <w:b/>
          <w:bCs/>
          <w:lang w:val="en-US" w:bidi="si-LK"/>
        </w:rPr>
        <w:t>and f</w:t>
      </w:r>
      <w:r w:rsidR="002C5144" w:rsidRPr="002C5144">
        <w:rPr>
          <w:b/>
          <w:bCs/>
          <w:lang w:val="en-US" w:bidi="si-LK"/>
        </w:rPr>
        <w:t>acts of the case</w:t>
      </w:r>
    </w:p>
    <w:p w14:paraId="68C03BE9" w14:textId="0B38ADEC" w:rsidR="00E63B15" w:rsidRDefault="00A9501B" w:rsidP="00E63B15">
      <w:pPr>
        <w:pStyle w:val="bStandard20"/>
        <w:spacing w:before="120" w:after="240"/>
        <w:rPr>
          <w:lang w:val="en-US" w:bidi="si-LK"/>
        </w:rPr>
      </w:pPr>
      <w:r>
        <w:rPr>
          <w:lang w:val="en-US" w:bidi="si-LK"/>
        </w:rPr>
        <w:t xml:space="preserve">By order of </w:t>
      </w:r>
      <w:r w:rsidR="00DD7535">
        <w:rPr>
          <w:lang w:val="en-US" w:bidi="si-LK"/>
        </w:rPr>
        <w:t xml:space="preserve">14 </w:t>
      </w:r>
      <w:r>
        <w:rPr>
          <w:lang w:val="en-US" w:bidi="si-LK"/>
        </w:rPr>
        <w:t>August</w:t>
      </w:r>
      <w:r w:rsidR="00DD7535">
        <w:rPr>
          <w:lang w:val="en-US" w:bidi="si-LK"/>
        </w:rPr>
        <w:t xml:space="preserve"> 202</w:t>
      </w:r>
      <w:r>
        <w:rPr>
          <w:lang w:val="en-US" w:bidi="si-LK"/>
        </w:rPr>
        <w:t>5</w:t>
      </w:r>
      <w:r w:rsidR="00DD7535">
        <w:rPr>
          <w:lang w:val="en-US" w:bidi="si-LK"/>
        </w:rPr>
        <w:t xml:space="preserve">, the </w:t>
      </w:r>
      <w:r>
        <w:rPr>
          <w:lang w:val="en-US" w:bidi="si-LK"/>
        </w:rPr>
        <w:t>Hamburg</w:t>
      </w:r>
      <w:r w:rsidR="00DD7535">
        <w:rPr>
          <w:lang w:val="en-US" w:bidi="si-LK"/>
        </w:rPr>
        <w:t xml:space="preserve"> Local Division </w:t>
      </w:r>
      <w:r>
        <w:rPr>
          <w:lang w:val="en-US" w:bidi="si-LK"/>
        </w:rPr>
        <w:t xml:space="preserve">issued a preliminary injunction against </w:t>
      </w:r>
      <w:r w:rsidR="00A14B5F">
        <w:rPr>
          <w:lang w:val="en-US" w:bidi="si-LK"/>
        </w:rPr>
        <w:t xml:space="preserve">all four </w:t>
      </w:r>
      <w:r w:rsidR="00CA2077">
        <w:rPr>
          <w:lang w:val="en-US" w:bidi="si-LK"/>
        </w:rPr>
        <w:t>Defendants</w:t>
      </w:r>
      <w:r w:rsidR="00A14B5F">
        <w:rPr>
          <w:lang w:val="en-US" w:bidi="si-LK"/>
        </w:rPr>
        <w:t xml:space="preserve"> (</w:t>
      </w:r>
      <w:proofErr w:type="spellStart"/>
      <w:r w:rsidR="009B25BA" w:rsidRPr="009B25BA">
        <w:rPr>
          <w:lang w:val="en-US" w:bidi="si-LK"/>
        </w:rPr>
        <w:t>Dreame</w:t>
      </w:r>
      <w:proofErr w:type="spellEnd"/>
      <w:r w:rsidR="009B25BA" w:rsidRPr="009B25BA">
        <w:rPr>
          <w:lang w:val="en-US" w:bidi="si-LK"/>
        </w:rPr>
        <w:t xml:space="preserve"> International (Hongkong) Limited</w:t>
      </w:r>
      <w:r w:rsidR="009B25BA">
        <w:rPr>
          <w:lang w:val="en-US" w:bidi="si-LK"/>
        </w:rPr>
        <w:t>,</w:t>
      </w:r>
      <w:r w:rsidR="009B25BA" w:rsidRPr="009B25BA">
        <w:rPr>
          <w:lang w:val="en-US" w:bidi="si-LK"/>
        </w:rPr>
        <w:t xml:space="preserve"> Eurep GmbH</w:t>
      </w:r>
      <w:r w:rsidR="009B25BA">
        <w:rPr>
          <w:lang w:val="en-US" w:bidi="si-LK"/>
        </w:rPr>
        <w:t xml:space="preserve">, </w:t>
      </w:r>
      <w:proofErr w:type="spellStart"/>
      <w:r w:rsidR="009B25BA" w:rsidRPr="009B25BA">
        <w:rPr>
          <w:lang w:val="en-US" w:bidi="si-LK"/>
        </w:rPr>
        <w:t>Teqphone</w:t>
      </w:r>
      <w:proofErr w:type="spellEnd"/>
      <w:r w:rsidR="009B25BA" w:rsidRPr="009B25BA">
        <w:rPr>
          <w:lang w:val="en-US" w:bidi="si-LK"/>
        </w:rPr>
        <w:t xml:space="preserve"> GmbH and </w:t>
      </w:r>
      <w:proofErr w:type="spellStart"/>
      <w:r w:rsidR="009B25BA" w:rsidRPr="009B25BA">
        <w:rPr>
          <w:lang w:val="en-US" w:bidi="si-LK"/>
        </w:rPr>
        <w:t>Dreame</w:t>
      </w:r>
      <w:proofErr w:type="spellEnd"/>
      <w:r w:rsidR="009B25BA" w:rsidRPr="009B25BA">
        <w:rPr>
          <w:lang w:val="en-US" w:bidi="si-LK"/>
        </w:rPr>
        <w:t xml:space="preserve"> Technology AB</w:t>
      </w:r>
      <w:r w:rsidR="00A14B5F">
        <w:rPr>
          <w:lang w:val="en-US" w:bidi="si-LK"/>
        </w:rPr>
        <w:t>)</w:t>
      </w:r>
      <w:r w:rsidR="00CA2077">
        <w:rPr>
          <w:lang w:val="en-US" w:bidi="si-LK"/>
        </w:rPr>
        <w:t xml:space="preserve"> </w:t>
      </w:r>
      <w:r w:rsidR="00B12F6B">
        <w:rPr>
          <w:lang w:val="en-US" w:bidi="si-LK"/>
        </w:rPr>
        <w:t xml:space="preserve">based on infringement of </w:t>
      </w:r>
      <w:r w:rsidR="0071578C" w:rsidRPr="0071578C">
        <w:rPr>
          <w:lang w:val="en-US" w:bidi="si-LK"/>
        </w:rPr>
        <w:t>EP 3 119 235</w:t>
      </w:r>
      <w:r w:rsidR="0071578C">
        <w:rPr>
          <w:lang w:val="en-US" w:bidi="si-LK"/>
        </w:rPr>
        <w:t xml:space="preserve">. </w:t>
      </w:r>
      <w:r w:rsidR="004C6212">
        <w:rPr>
          <w:lang w:val="en-US" w:bidi="si-LK"/>
        </w:rPr>
        <w:t xml:space="preserve">With regard to Defendants </w:t>
      </w:r>
      <w:proofErr w:type="spellStart"/>
      <w:r w:rsidR="004C6212">
        <w:rPr>
          <w:lang w:val="en-US" w:bidi="si-LK"/>
        </w:rPr>
        <w:t>Dreame</w:t>
      </w:r>
      <w:proofErr w:type="spellEnd"/>
      <w:r w:rsidR="004C6212">
        <w:rPr>
          <w:lang w:val="en-US" w:bidi="si-LK"/>
        </w:rPr>
        <w:t xml:space="preserve"> International and Eurep, the injunction was extended to Spain, i.e. outside of the UPC territory</w:t>
      </w:r>
      <w:r w:rsidR="002B2AC9">
        <w:rPr>
          <w:lang w:val="en-US" w:bidi="si-LK"/>
        </w:rPr>
        <w:t>:</w:t>
      </w:r>
      <w:r w:rsidR="004C6212">
        <w:rPr>
          <w:lang w:val="en-US" w:bidi="si-LK"/>
        </w:rPr>
        <w:t xml:space="preserve"> </w:t>
      </w:r>
      <w:proofErr w:type="spellStart"/>
      <w:r w:rsidR="00DC4ABF">
        <w:rPr>
          <w:lang w:val="en-US" w:bidi="si-LK"/>
        </w:rPr>
        <w:t>Dreame</w:t>
      </w:r>
      <w:proofErr w:type="spellEnd"/>
      <w:r w:rsidR="00DC4ABF">
        <w:rPr>
          <w:lang w:val="en-US" w:bidi="si-LK"/>
        </w:rPr>
        <w:t xml:space="preserve"> International</w:t>
      </w:r>
      <w:r w:rsidR="00F9615A">
        <w:rPr>
          <w:lang w:val="en-US" w:bidi="si-LK"/>
        </w:rPr>
        <w:t xml:space="preserve"> is a China</w:t>
      </w:r>
      <w:r w:rsidR="00A22C11">
        <w:rPr>
          <w:lang w:val="en-US" w:bidi="si-LK"/>
        </w:rPr>
        <w:t>-</w:t>
      </w:r>
      <w:r w:rsidR="00F9615A">
        <w:rPr>
          <w:lang w:val="en-US" w:bidi="si-LK"/>
        </w:rPr>
        <w:t>based company</w:t>
      </w:r>
      <w:r w:rsidR="00DC4ABF">
        <w:rPr>
          <w:lang w:val="en-US" w:bidi="si-LK"/>
        </w:rPr>
        <w:t xml:space="preserve"> </w:t>
      </w:r>
      <w:r w:rsidR="00CF1AC1">
        <w:rPr>
          <w:lang w:val="en-US" w:bidi="si-LK"/>
        </w:rPr>
        <w:t>operat</w:t>
      </w:r>
      <w:r w:rsidR="00F9615A">
        <w:rPr>
          <w:lang w:val="en-US" w:bidi="si-LK"/>
        </w:rPr>
        <w:t>ing</w:t>
      </w:r>
      <w:r w:rsidR="00CF1AC1">
        <w:rPr>
          <w:lang w:val="en-US" w:bidi="si-LK"/>
        </w:rPr>
        <w:t xml:space="preserve"> several</w:t>
      </w:r>
      <w:r w:rsidR="00CF1AC1" w:rsidRPr="00CF1AC1">
        <w:rPr>
          <w:lang w:val="en-US" w:bidi="si-LK"/>
        </w:rPr>
        <w:t xml:space="preserve"> </w:t>
      </w:r>
      <w:r w:rsidR="006778BE">
        <w:rPr>
          <w:lang w:val="en-US" w:bidi="si-LK"/>
        </w:rPr>
        <w:t>web-shops</w:t>
      </w:r>
      <w:r w:rsidR="006778BE" w:rsidRPr="00CF1AC1">
        <w:rPr>
          <w:lang w:val="en-US" w:bidi="si-LK"/>
        </w:rPr>
        <w:t xml:space="preserve"> </w:t>
      </w:r>
      <w:r w:rsidR="00CF1AC1">
        <w:rPr>
          <w:lang w:val="en-US" w:bidi="si-LK"/>
        </w:rPr>
        <w:t>in different countries</w:t>
      </w:r>
      <w:r w:rsidR="00B76E7C">
        <w:rPr>
          <w:lang w:val="en-US" w:bidi="si-LK"/>
        </w:rPr>
        <w:t xml:space="preserve"> including Germany and Spain,</w:t>
      </w:r>
      <w:r w:rsidR="00CF1AC1">
        <w:rPr>
          <w:lang w:val="en-US" w:bidi="si-LK"/>
        </w:rPr>
        <w:t xml:space="preserve"> </w:t>
      </w:r>
      <w:r w:rsidR="005E1A78">
        <w:rPr>
          <w:lang w:val="en-US" w:bidi="si-LK"/>
        </w:rPr>
        <w:t>which are identical apart from the language,</w:t>
      </w:r>
      <w:r w:rsidR="00B76E7C">
        <w:rPr>
          <w:lang w:val="en-US" w:bidi="si-LK"/>
        </w:rPr>
        <w:t xml:space="preserve"> offering </w:t>
      </w:r>
      <w:r w:rsidR="00D154D1">
        <w:rPr>
          <w:lang w:val="en-US" w:bidi="si-LK"/>
        </w:rPr>
        <w:t xml:space="preserve">hair dryers and other </w:t>
      </w:r>
      <w:r w:rsidR="00B76E7C">
        <w:rPr>
          <w:lang w:val="en-US" w:bidi="si-LK"/>
        </w:rPr>
        <w:t xml:space="preserve">products of the </w:t>
      </w:r>
      <w:proofErr w:type="spellStart"/>
      <w:r w:rsidR="00B76E7C">
        <w:rPr>
          <w:lang w:val="en-US" w:bidi="si-LK"/>
        </w:rPr>
        <w:t>Dreame</w:t>
      </w:r>
      <w:proofErr w:type="spellEnd"/>
      <w:r w:rsidR="00B76E7C">
        <w:rPr>
          <w:lang w:val="en-US" w:bidi="si-LK"/>
        </w:rPr>
        <w:t xml:space="preserve"> group</w:t>
      </w:r>
      <w:r w:rsidR="002B2AC9">
        <w:rPr>
          <w:lang w:val="en-US" w:bidi="si-LK"/>
        </w:rPr>
        <w:t>, and</w:t>
      </w:r>
      <w:r w:rsidR="00E63B15">
        <w:rPr>
          <w:lang w:val="en-US" w:bidi="si-LK"/>
        </w:rPr>
        <w:t xml:space="preserve"> </w:t>
      </w:r>
      <w:r w:rsidR="008B0FF1">
        <w:rPr>
          <w:lang w:val="en-US" w:bidi="si-LK"/>
        </w:rPr>
        <w:t xml:space="preserve">Eurep </w:t>
      </w:r>
      <w:r w:rsidR="00E35D89">
        <w:rPr>
          <w:lang w:val="en-US" w:bidi="si-LK"/>
        </w:rPr>
        <w:t xml:space="preserve">acts an </w:t>
      </w:r>
      <w:r w:rsidR="007225D0">
        <w:rPr>
          <w:lang w:val="en-US" w:bidi="si-LK"/>
        </w:rPr>
        <w:t xml:space="preserve">authorized representative </w:t>
      </w:r>
      <w:r w:rsidR="00E35D89">
        <w:rPr>
          <w:lang w:val="en-US" w:bidi="si-LK"/>
        </w:rPr>
        <w:t xml:space="preserve">for </w:t>
      </w:r>
      <w:r w:rsidR="0040583C">
        <w:rPr>
          <w:lang w:val="en-US" w:bidi="si-LK"/>
        </w:rPr>
        <w:t xml:space="preserve">manufacturers based outside of </w:t>
      </w:r>
      <w:r w:rsidR="00E70BA4">
        <w:rPr>
          <w:lang w:val="en-US" w:bidi="si-LK"/>
        </w:rPr>
        <w:t xml:space="preserve">the EU </w:t>
      </w:r>
      <w:r w:rsidR="007B7BBD">
        <w:rPr>
          <w:lang w:val="en-US" w:bidi="si-LK"/>
        </w:rPr>
        <w:t xml:space="preserve">to </w:t>
      </w:r>
      <w:r w:rsidR="00641CEE">
        <w:rPr>
          <w:lang w:val="en-US" w:bidi="si-LK"/>
        </w:rPr>
        <w:t>comply with</w:t>
      </w:r>
      <w:r w:rsidR="007B7BBD">
        <w:rPr>
          <w:lang w:val="en-US" w:bidi="si-LK"/>
        </w:rPr>
        <w:t xml:space="preserve"> regulatory requirements.</w:t>
      </w:r>
    </w:p>
    <w:p w14:paraId="0E427FA7" w14:textId="1A73638D" w:rsidR="00DA5FA7" w:rsidRDefault="005C083F" w:rsidP="00E63B15">
      <w:pPr>
        <w:pStyle w:val="bStandard20"/>
        <w:spacing w:before="120" w:after="240"/>
        <w:rPr>
          <w:lang w:val="en-US" w:bidi="si-LK"/>
        </w:rPr>
      </w:pPr>
      <w:r>
        <w:rPr>
          <w:lang w:val="en-US" w:bidi="si-LK"/>
        </w:rPr>
        <w:t>Both sides appealed the first instance decision and</w:t>
      </w:r>
      <w:r w:rsidR="00114A85">
        <w:rPr>
          <w:lang w:val="en-US" w:bidi="si-LK"/>
        </w:rPr>
        <w:t xml:space="preserve"> </w:t>
      </w:r>
      <w:r w:rsidR="004E5706">
        <w:rPr>
          <w:lang w:val="en-US" w:bidi="si-LK"/>
        </w:rPr>
        <w:t>the CoA</w:t>
      </w:r>
      <w:r w:rsidR="009859E2">
        <w:rPr>
          <w:lang w:val="en-US" w:bidi="si-LK"/>
        </w:rPr>
        <w:t xml:space="preserve"> </w:t>
      </w:r>
      <w:r w:rsidR="004E5706">
        <w:rPr>
          <w:lang w:val="en-US" w:bidi="si-LK"/>
        </w:rPr>
        <w:t xml:space="preserve">takes the opportunity to refer </w:t>
      </w:r>
      <w:r w:rsidR="00114A85">
        <w:rPr>
          <w:lang w:val="en-US" w:bidi="si-LK"/>
        </w:rPr>
        <w:t xml:space="preserve">four </w:t>
      </w:r>
      <w:r w:rsidR="004E5706">
        <w:rPr>
          <w:lang w:val="en-US" w:bidi="si-LK"/>
        </w:rPr>
        <w:t>questions to the CJEU</w:t>
      </w:r>
      <w:r w:rsidR="00114A85">
        <w:rPr>
          <w:lang w:val="en-US" w:bidi="si-LK"/>
        </w:rPr>
        <w:t xml:space="preserve">. The first three questions </w:t>
      </w:r>
      <w:r w:rsidR="00233BF9">
        <w:rPr>
          <w:lang w:val="en-US" w:bidi="si-LK"/>
        </w:rPr>
        <w:t>relate to</w:t>
      </w:r>
      <w:r w:rsidR="009859E2" w:rsidRPr="009859E2">
        <w:rPr>
          <w:lang w:val="en-US" w:bidi="si-LK"/>
        </w:rPr>
        <w:t xml:space="preserve"> </w:t>
      </w:r>
      <w:r w:rsidR="009859E2">
        <w:rPr>
          <w:lang w:val="en-US" w:bidi="si-LK"/>
        </w:rPr>
        <w:t>UPC’s</w:t>
      </w:r>
      <w:r>
        <w:rPr>
          <w:lang w:val="en-US" w:bidi="si-LK"/>
        </w:rPr>
        <w:t xml:space="preserve"> </w:t>
      </w:r>
      <w:r w:rsidR="001B662F">
        <w:rPr>
          <w:lang w:val="en-US" w:bidi="si-LK"/>
        </w:rPr>
        <w:t xml:space="preserve">international jurisdiction </w:t>
      </w:r>
      <w:r w:rsidR="009859E2">
        <w:rPr>
          <w:lang w:val="en-US" w:bidi="si-LK"/>
        </w:rPr>
        <w:t xml:space="preserve">with respect to </w:t>
      </w:r>
      <w:proofErr w:type="spellStart"/>
      <w:r w:rsidR="009859E2">
        <w:rPr>
          <w:lang w:val="en-US" w:bidi="si-LK"/>
        </w:rPr>
        <w:t>Dreame</w:t>
      </w:r>
      <w:proofErr w:type="spellEnd"/>
      <w:r w:rsidR="009859E2">
        <w:rPr>
          <w:lang w:val="en-US" w:bidi="si-LK"/>
        </w:rPr>
        <w:t xml:space="preserve"> International’s </w:t>
      </w:r>
      <w:r w:rsidR="00494623">
        <w:rPr>
          <w:lang w:val="en-US" w:bidi="si-LK"/>
        </w:rPr>
        <w:t>activities in Spain</w:t>
      </w:r>
      <w:r w:rsidR="00233BF9" w:rsidRPr="00233BF9">
        <w:rPr>
          <w:lang w:val="en-US" w:bidi="si-LK"/>
        </w:rPr>
        <w:t xml:space="preserve"> </w:t>
      </w:r>
      <w:r w:rsidR="00233BF9">
        <w:rPr>
          <w:lang w:val="en-US" w:bidi="si-LK"/>
        </w:rPr>
        <w:t xml:space="preserve">(based on Regulation 1215/2012) and </w:t>
      </w:r>
      <w:r w:rsidR="00494623">
        <w:rPr>
          <w:lang w:val="en-US" w:bidi="si-LK"/>
        </w:rPr>
        <w:t>the fourth question concerns the</w:t>
      </w:r>
      <w:r w:rsidR="009A4400">
        <w:rPr>
          <w:lang w:val="en-US" w:bidi="si-LK"/>
        </w:rPr>
        <w:t xml:space="preserve"> </w:t>
      </w:r>
      <w:r w:rsidR="00AC6C86">
        <w:rPr>
          <w:lang w:val="en-US" w:bidi="si-LK"/>
        </w:rPr>
        <w:t xml:space="preserve">liability of Eurep as an </w:t>
      </w:r>
      <w:r w:rsidR="00AC6C86" w:rsidRPr="00AC6C86">
        <w:rPr>
          <w:i/>
          <w:iCs/>
          <w:lang w:val="en-US" w:bidi="si-LK"/>
        </w:rPr>
        <w:t>“Intermediary”</w:t>
      </w:r>
      <w:r w:rsidR="00AC6C86">
        <w:rPr>
          <w:lang w:val="en-US" w:bidi="si-LK"/>
        </w:rPr>
        <w:t xml:space="preserve"> (based on Directive 2004/48).</w:t>
      </w:r>
    </w:p>
    <w:p w14:paraId="29F45A2D" w14:textId="7677BF77" w:rsidR="0021438E" w:rsidRPr="00EF63FF" w:rsidRDefault="00DB14C9" w:rsidP="00E63B15">
      <w:pPr>
        <w:pStyle w:val="bStandard20"/>
        <w:spacing w:before="120" w:after="240"/>
        <w:rPr>
          <w:b/>
          <w:bCs/>
          <w:lang w:val="en-US" w:bidi="si-LK"/>
        </w:rPr>
      </w:pPr>
      <w:r w:rsidRPr="00EF63FF">
        <w:rPr>
          <w:b/>
          <w:bCs/>
          <w:lang w:val="en-US" w:bidi="si-LK"/>
        </w:rPr>
        <w:t>First question</w:t>
      </w:r>
      <w:r w:rsidR="003E7AF5" w:rsidRPr="00EF63FF">
        <w:rPr>
          <w:b/>
          <w:bCs/>
          <w:lang w:val="en-US" w:bidi="si-LK"/>
        </w:rPr>
        <w:t xml:space="preserve">: </w:t>
      </w:r>
      <w:r w:rsidR="00C74934" w:rsidRPr="00AC6C86">
        <w:rPr>
          <w:b/>
          <w:bCs/>
          <w:i/>
          <w:iCs/>
          <w:lang w:val="en-US" w:bidi="si-LK"/>
        </w:rPr>
        <w:t>“Irreconcilable judgments”</w:t>
      </w:r>
      <w:r w:rsidR="00C74934" w:rsidRPr="00EF63FF">
        <w:rPr>
          <w:b/>
          <w:bCs/>
          <w:lang w:val="en-US" w:bidi="si-LK"/>
        </w:rPr>
        <w:t xml:space="preserve"> </w:t>
      </w:r>
      <w:r w:rsidR="00EF63FF" w:rsidRPr="00EF63FF">
        <w:rPr>
          <w:b/>
          <w:bCs/>
          <w:lang w:val="en-US" w:bidi="si-LK"/>
        </w:rPr>
        <w:t>pursuant to Article 8(1) of Regulation 1215/2012</w:t>
      </w:r>
      <w:r w:rsidR="00964FD2">
        <w:rPr>
          <w:b/>
          <w:bCs/>
          <w:lang w:val="en-US" w:bidi="si-LK"/>
        </w:rPr>
        <w:t xml:space="preserve"> in case </w:t>
      </w:r>
      <w:r w:rsidR="00677B30">
        <w:rPr>
          <w:b/>
          <w:bCs/>
          <w:lang w:val="en-US" w:bidi="si-LK"/>
        </w:rPr>
        <w:t>of intermediaries</w:t>
      </w:r>
    </w:p>
    <w:p w14:paraId="71F792C5" w14:textId="40EA3DA5" w:rsidR="00A9501B" w:rsidRDefault="004F105E" w:rsidP="00322EEC">
      <w:pPr>
        <w:pStyle w:val="bStandard20"/>
        <w:spacing w:before="120" w:after="240"/>
        <w:rPr>
          <w:lang w:val="en-US" w:bidi="si-LK"/>
        </w:rPr>
      </w:pPr>
      <w:r>
        <w:rPr>
          <w:lang w:val="en-US" w:bidi="si-LK"/>
        </w:rPr>
        <w:t xml:space="preserve">According to Article 8(1) of Regulation 1215/2012, </w:t>
      </w:r>
      <w:r w:rsidR="004C4BE5" w:rsidRPr="004C4BE5">
        <w:rPr>
          <w:i/>
          <w:lang w:val="en-US" w:bidi="si-LK"/>
        </w:rPr>
        <w:t xml:space="preserve">“a person domiciled in a Member State may also be sued (…) where he is one of a number of defendants, in the courts for the place where any one of them is domiciled, provided the claims are so closely connected that it is expedient to hear and determine them together to avoid the risk of </w:t>
      </w:r>
      <w:r w:rsidR="004C4BE5" w:rsidRPr="00677B30">
        <w:rPr>
          <w:i/>
          <w:lang w:val="en-US" w:bidi="si-LK"/>
        </w:rPr>
        <w:t>irreconcilable judgments</w:t>
      </w:r>
      <w:r w:rsidR="004C4BE5" w:rsidRPr="004C4BE5">
        <w:rPr>
          <w:i/>
          <w:lang w:val="en-US" w:bidi="si-LK"/>
        </w:rPr>
        <w:t xml:space="preserve"> resulting from separate proceedings”</w:t>
      </w:r>
      <w:r w:rsidR="00554CF8">
        <w:rPr>
          <w:lang w:val="en-US" w:bidi="si-LK"/>
        </w:rPr>
        <w:t>.</w:t>
      </w:r>
      <w:r w:rsidR="004C4BE5">
        <w:rPr>
          <w:lang w:val="en-US" w:bidi="si-LK"/>
        </w:rPr>
        <w:t xml:space="preserve"> </w:t>
      </w:r>
      <w:r w:rsidR="00554CF8">
        <w:rPr>
          <w:lang w:val="en-US" w:bidi="si-LK"/>
        </w:rPr>
        <w:t>T</w:t>
      </w:r>
      <w:r w:rsidR="00F373FC">
        <w:rPr>
          <w:lang w:val="en-US" w:bidi="si-LK"/>
        </w:rPr>
        <w:t>his</w:t>
      </w:r>
      <w:r w:rsidR="00EC1AD7">
        <w:rPr>
          <w:lang w:val="en-US" w:bidi="si-LK"/>
        </w:rPr>
        <w:t xml:space="preserve"> </w:t>
      </w:r>
      <w:r w:rsidR="00997AC2">
        <w:rPr>
          <w:lang w:val="en-US" w:bidi="si-LK"/>
        </w:rPr>
        <w:t xml:space="preserve">rule </w:t>
      </w:r>
      <w:r w:rsidR="00F373FC">
        <w:rPr>
          <w:lang w:val="en-US" w:bidi="si-LK"/>
        </w:rPr>
        <w:t xml:space="preserve">is applied to </w:t>
      </w:r>
      <w:r w:rsidR="00B93F79">
        <w:rPr>
          <w:lang w:val="en-US" w:bidi="si-LK"/>
        </w:rPr>
        <w:t>the UPC’s international jurisdiction for Defendants outside of the UPC territory by means of Art</w:t>
      </w:r>
      <w:r w:rsidR="00EC1AD7">
        <w:rPr>
          <w:lang w:val="en-US" w:bidi="si-LK"/>
        </w:rPr>
        <w:t>. 71b(2) of Regulation 1215/2012</w:t>
      </w:r>
      <w:r w:rsidR="00322EEC">
        <w:rPr>
          <w:lang w:val="en-US" w:bidi="si-LK"/>
        </w:rPr>
        <w:t xml:space="preserve"> (</w:t>
      </w:r>
      <w:r w:rsidR="00322EEC" w:rsidRPr="00322EEC">
        <w:rPr>
          <w:i/>
          <w:lang w:val="en-US" w:bidi="si-LK"/>
        </w:rPr>
        <w:t>“where the defendant is not domiciled in a Member State, and this Regulation does not otherwise confer jurisdiction over him, Chapter II shall apply as appropriate regardless of the defendant’s domicile”</w:t>
      </w:r>
      <w:r w:rsidR="00322EEC">
        <w:rPr>
          <w:lang w:val="en-US" w:bidi="si-LK"/>
        </w:rPr>
        <w:t>).</w:t>
      </w:r>
    </w:p>
    <w:p w14:paraId="45323274" w14:textId="03A79050" w:rsidR="00C4656E" w:rsidRDefault="00C4656E" w:rsidP="00CE7276">
      <w:pPr>
        <w:pStyle w:val="bStandard20"/>
        <w:spacing w:before="120" w:after="240"/>
        <w:rPr>
          <w:lang w:val="en-US" w:bidi="si-LK"/>
        </w:rPr>
      </w:pPr>
      <w:r>
        <w:rPr>
          <w:lang w:val="en-US" w:bidi="si-LK"/>
        </w:rPr>
        <w:lastRenderedPageBreak/>
        <w:t xml:space="preserve">It is </w:t>
      </w:r>
      <w:r w:rsidR="00677B30">
        <w:rPr>
          <w:lang w:val="en-US" w:bidi="si-LK"/>
        </w:rPr>
        <w:t>point</w:t>
      </w:r>
      <w:r>
        <w:rPr>
          <w:lang w:val="en-US" w:bidi="si-LK"/>
        </w:rPr>
        <w:t>ed</w:t>
      </w:r>
      <w:r w:rsidR="00677B30">
        <w:rPr>
          <w:lang w:val="en-US" w:bidi="si-LK"/>
        </w:rPr>
        <w:t xml:space="preserve"> out that </w:t>
      </w:r>
      <w:r w:rsidR="00112600">
        <w:rPr>
          <w:lang w:val="en-US" w:bidi="si-LK"/>
        </w:rPr>
        <w:t xml:space="preserve">the CJEU has already decided that </w:t>
      </w:r>
      <w:r w:rsidR="00485859">
        <w:rPr>
          <w:lang w:val="en-US" w:bidi="si-LK"/>
        </w:rPr>
        <w:t xml:space="preserve">such a risk of irreconcilable judgments </w:t>
      </w:r>
      <w:r w:rsidR="00CD7BD4">
        <w:rPr>
          <w:lang w:val="en-US" w:bidi="si-LK"/>
        </w:rPr>
        <w:t>could be given where two companies carr</w:t>
      </w:r>
      <w:r w:rsidR="00997AC2">
        <w:rPr>
          <w:lang w:val="en-US" w:bidi="si-LK"/>
        </w:rPr>
        <w:t>y</w:t>
      </w:r>
      <w:r w:rsidR="00CD7BD4">
        <w:rPr>
          <w:lang w:val="en-US" w:bidi="si-LK"/>
        </w:rPr>
        <w:t xml:space="preserve"> out activities</w:t>
      </w:r>
      <w:r w:rsidR="00B20A5C">
        <w:rPr>
          <w:lang w:val="en-US" w:bidi="si-LK"/>
        </w:rPr>
        <w:t xml:space="preserve"> regarding the same product</w:t>
      </w:r>
      <w:r w:rsidR="00CD7BD4">
        <w:rPr>
          <w:lang w:val="en-US" w:bidi="si-LK"/>
        </w:rPr>
        <w:t xml:space="preserve"> </w:t>
      </w:r>
      <w:r w:rsidR="00395B02">
        <w:rPr>
          <w:lang w:val="en-US" w:bidi="si-LK"/>
        </w:rPr>
        <w:t xml:space="preserve">allegedly </w:t>
      </w:r>
      <w:r w:rsidR="00CD7BD4">
        <w:rPr>
          <w:lang w:val="en-US" w:bidi="si-LK"/>
        </w:rPr>
        <w:t xml:space="preserve">infringing </w:t>
      </w:r>
      <w:r w:rsidR="00B20A5C">
        <w:rPr>
          <w:lang w:val="en-US" w:bidi="si-LK"/>
        </w:rPr>
        <w:t>the same national part of a European patent (CJEU</w:t>
      </w:r>
      <w:r w:rsidR="002C3ED8">
        <w:rPr>
          <w:lang w:val="en-US" w:bidi="si-LK"/>
        </w:rPr>
        <w:t>,</w:t>
      </w:r>
      <w:r w:rsidR="00B20A5C">
        <w:rPr>
          <w:lang w:val="en-US" w:bidi="si-LK"/>
        </w:rPr>
        <w:t xml:space="preserve"> </w:t>
      </w:r>
      <w:r w:rsidR="00B20A5C" w:rsidRPr="00B20A5C">
        <w:rPr>
          <w:lang w:val="en-US" w:bidi="si-LK"/>
        </w:rPr>
        <w:t xml:space="preserve">judgement of 12 July 2012, </w:t>
      </w:r>
      <w:r w:rsidR="00B20A5C">
        <w:rPr>
          <w:lang w:val="en-US" w:bidi="si-LK"/>
        </w:rPr>
        <w:t xml:space="preserve">in </w:t>
      </w:r>
      <w:r w:rsidR="00B20A5C" w:rsidRPr="00B20A5C">
        <w:rPr>
          <w:i/>
          <w:lang w:val="en-US" w:bidi="si-LK"/>
        </w:rPr>
        <w:t>Solvay v Honeywell</w:t>
      </w:r>
      <w:r w:rsidR="00B20A5C" w:rsidRPr="00B20A5C">
        <w:rPr>
          <w:lang w:val="en-US" w:bidi="si-LK"/>
        </w:rPr>
        <w:t>, C-616/10</w:t>
      </w:r>
      <w:r w:rsidR="00B20A5C">
        <w:rPr>
          <w:lang w:val="en-US" w:bidi="si-LK"/>
        </w:rPr>
        <w:t>)</w:t>
      </w:r>
      <w:r w:rsidR="00B13193">
        <w:rPr>
          <w:lang w:val="en-US" w:bidi="si-LK"/>
        </w:rPr>
        <w:t>.</w:t>
      </w:r>
      <w:r w:rsidR="00B20A5C">
        <w:rPr>
          <w:lang w:val="en-US" w:bidi="si-LK"/>
        </w:rPr>
        <w:t xml:space="preserve"> </w:t>
      </w:r>
    </w:p>
    <w:p w14:paraId="1F33000E" w14:textId="31C65965" w:rsidR="007512C4" w:rsidRPr="00CE7276" w:rsidRDefault="00C4656E" w:rsidP="00CE7276">
      <w:pPr>
        <w:pStyle w:val="bStandard20"/>
        <w:spacing w:before="120" w:after="240"/>
        <w:rPr>
          <w:lang w:val="en-US" w:bidi="si-LK"/>
        </w:rPr>
      </w:pPr>
      <w:r>
        <w:rPr>
          <w:lang w:val="en-US" w:bidi="si-LK"/>
        </w:rPr>
        <w:t xml:space="preserve">The CoA </w:t>
      </w:r>
      <w:r w:rsidR="00215778">
        <w:rPr>
          <w:lang w:val="en-US" w:bidi="si-LK"/>
        </w:rPr>
        <w:t xml:space="preserve">now asks whether </w:t>
      </w:r>
      <w:r w:rsidR="00215778" w:rsidRPr="00215778">
        <w:rPr>
          <w:lang w:val="en-US" w:bidi="si-LK"/>
        </w:rPr>
        <w:t>Article 8(1) of Regulation 1215/2012</w:t>
      </w:r>
      <w:r w:rsidR="00215778">
        <w:rPr>
          <w:lang w:val="en-US" w:bidi="si-LK"/>
        </w:rPr>
        <w:t xml:space="preserve"> also applies </w:t>
      </w:r>
      <w:r w:rsidR="00677B30">
        <w:rPr>
          <w:lang w:val="en-US" w:bidi="si-LK"/>
        </w:rPr>
        <w:t xml:space="preserve">in a case where </w:t>
      </w:r>
      <w:r w:rsidR="00CE7276">
        <w:rPr>
          <w:lang w:val="en-US" w:bidi="si-LK"/>
        </w:rPr>
        <w:t xml:space="preserve">one of the companies </w:t>
      </w:r>
      <w:r w:rsidR="00CE7276" w:rsidRPr="00CE7276">
        <w:rPr>
          <w:i/>
          <w:lang w:val="en-US" w:bidi="si-LK"/>
        </w:rPr>
        <w:t>“merely”</w:t>
      </w:r>
      <w:r w:rsidR="00CE7276">
        <w:rPr>
          <w:lang w:val="en-US" w:bidi="si-LK"/>
        </w:rPr>
        <w:t xml:space="preserve"> acts</w:t>
      </w:r>
      <w:r w:rsidR="00CE7276" w:rsidRPr="00CE7276">
        <w:rPr>
          <w:lang w:val="en-US" w:bidi="si-LK"/>
        </w:rPr>
        <w:t xml:space="preserve"> as an intermediary </w:t>
      </w:r>
      <w:r w:rsidR="00395B02">
        <w:rPr>
          <w:lang w:val="en-US" w:bidi="si-LK"/>
        </w:rPr>
        <w:t>providing</w:t>
      </w:r>
      <w:r w:rsidR="00CE7276" w:rsidRPr="00CE7276">
        <w:rPr>
          <w:lang w:val="en-US" w:bidi="si-LK"/>
        </w:rPr>
        <w:t xml:space="preserve"> services </w:t>
      </w:r>
      <w:r w:rsidR="00395B02">
        <w:rPr>
          <w:lang w:val="en-US" w:bidi="si-LK"/>
        </w:rPr>
        <w:t xml:space="preserve">to the </w:t>
      </w:r>
      <w:r w:rsidR="00CE7276" w:rsidRPr="00CE7276">
        <w:rPr>
          <w:lang w:val="en-US" w:bidi="si-LK"/>
        </w:rPr>
        <w:t xml:space="preserve">company </w:t>
      </w:r>
      <w:r w:rsidR="00395B02">
        <w:rPr>
          <w:lang w:val="en-US" w:bidi="si-LK"/>
        </w:rPr>
        <w:t>actually</w:t>
      </w:r>
      <w:r w:rsidR="00CE7276" w:rsidRPr="00CE7276">
        <w:rPr>
          <w:lang w:val="en-US" w:bidi="si-LK"/>
        </w:rPr>
        <w:t xml:space="preserve"> commit</w:t>
      </w:r>
      <w:r w:rsidR="00395B02">
        <w:rPr>
          <w:lang w:val="en-US" w:bidi="si-LK"/>
        </w:rPr>
        <w:t>ting</w:t>
      </w:r>
      <w:r w:rsidR="00CE7276" w:rsidRPr="00CE7276">
        <w:rPr>
          <w:lang w:val="en-US" w:bidi="si-LK"/>
        </w:rPr>
        <w:t xml:space="preserve"> </w:t>
      </w:r>
      <w:r w:rsidR="00395B02">
        <w:rPr>
          <w:lang w:val="en-US" w:bidi="si-LK"/>
        </w:rPr>
        <w:t>the</w:t>
      </w:r>
      <w:r w:rsidR="00CE7276" w:rsidRPr="00CE7276">
        <w:rPr>
          <w:lang w:val="en-US" w:bidi="si-LK"/>
        </w:rPr>
        <w:t xml:space="preserve"> infring</w:t>
      </w:r>
      <w:r w:rsidR="00395B02">
        <w:rPr>
          <w:lang w:val="en-US" w:bidi="si-LK"/>
        </w:rPr>
        <w:t>ing activities</w:t>
      </w:r>
      <w:r w:rsidR="00CE7276" w:rsidRPr="00CE7276">
        <w:rPr>
          <w:lang w:val="en-US" w:bidi="si-LK"/>
        </w:rPr>
        <w:t>.</w:t>
      </w:r>
    </w:p>
    <w:p w14:paraId="547077C9" w14:textId="1C64D787" w:rsidR="00C15E78" w:rsidRPr="00C15E78" w:rsidRDefault="00C15E78" w:rsidP="00CC33DA">
      <w:pPr>
        <w:pStyle w:val="bStandard20"/>
        <w:spacing w:before="120" w:after="240"/>
        <w:rPr>
          <w:b/>
          <w:bCs/>
          <w:lang w:val="en-US" w:bidi="si-LK"/>
        </w:rPr>
      </w:pPr>
      <w:r>
        <w:rPr>
          <w:b/>
          <w:bCs/>
          <w:lang w:val="en-US" w:bidi="si-LK"/>
        </w:rPr>
        <w:t>Second and third</w:t>
      </w:r>
      <w:r w:rsidRPr="00EF63FF">
        <w:rPr>
          <w:b/>
          <w:bCs/>
          <w:lang w:val="en-US" w:bidi="si-LK"/>
        </w:rPr>
        <w:t xml:space="preserve"> question:</w:t>
      </w:r>
      <w:r w:rsidR="00A87231">
        <w:rPr>
          <w:b/>
          <w:bCs/>
          <w:lang w:val="en-US" w:bidi="si-LK"/>
        </w:rPr>
        <w:t xml:space="preserve"> International jurisdiction </w:t>
      </w:r>
      <w:r w:rsidRPr="00EF63FF">
        <w:rPr>
          <w:b/>
          <w:bCs/>
          <w:lang w:val="en-US" w:bidi="si-LK"/>
        </w:rPr>
        <w:t xml:space="preserve">pursuant to Article </w:t>
      </w:r>
      <w:r w:rsidR="00A87231">
        <w:rPr>
          <w:b/>
          <w:bCs/>
          <w:lang w:val="en-US" w:bidi="si-LK"/>
        </w:rPr>
        <w:t>71b(2), second sentence</w:t>
      </w:r>
      <w:r w:rsidR="00CE09DD">
        <w:rPr>
          <w:b/>
          <w:bCs/>
          <w:lang w:val="en-US" w:bidi="si-LK"/>
        </w:rPr>
        <w:t>,</w:t>
      </w:r>
      <w:r w:rsidRPr="00EF63FF">
        <w:rPr>
          <w:b/>
          <w:bCs/>
          <w:lang w:val="en-US" w:bidi="si-LK"/>
        </w:rPr>
        <w:t xml:space="preserve"> of Regulation 1215/2012</w:t>
      </w:r>
    </w:p>
    <w:p w14:paraId="09D60313" w14:textId="34AFE7A7" w:rsidR="00FE47C1" w:rsidRDefault="00904429" w:rsidP="00CC33DA">
      <w:pPr>
        <w:pStyle w:val="bStandard20"/>
        <w:spacing w:before="120" w:after="240"/>
        <w:rPr>
          <w:iCs/>
          <w:lang w:val="en-US" w:bidi="si-LK"/>
        </w:rPr>
      </w:pPr>
      <w:r>
        <w:rPr>
          <w:lang w:val="en-US" w:bidi="si-LK"/>
        </w:rPr>
        <w:t xml:space="preserve">With its second and third question, the CoA suggests an alternative approach for </w:t>
      </w:r>
      <w:r w:rsidR="0054498D">
        <w:rPr>
          <w:lang w:val="en-US" w:bidi="si-LK"/>
        </w:rPr>
        <w:t xml:space="preserve">establishing the UPC’s international jurisdiction in the case at hand, which is applicable in </w:t>
      </w:r>
      <w:r w:rsidR="00D50587">
        <w:rPr>
          <w:lang w:val="en-US" w:bidi="si-LK"/>
        </w:rPr>
        <w:t>proceedings regarding provisional measures</w:t>
      </w:r>
      <w:r w:rsidR="002D7C76">
        <w:rPr>
          <w:lang w:val="en-US" w:bidi="si-LK"/>
        </w:rPr>
        <w:t>:</w:t>
      </w:r>
      <w:r w:rsidR="00D50587">
        <w:rPr>
          <w:lang w:val="en-US" w:bidi="si-LK"/>
        </w:rPr>
        <w:t xml:space="preserve"> </w:t>
      </w:r>
      <w:r w:rsidR="00CE09DD">
        <w:rPr>
          <w:lang w:val="en-US" w:bidi="si-LK"/>
        </w:rPr>
        <w:t xml:space="preserve">The second sentence of </w:t>
      </w:r>
      <w:r w:rsidR="00CE09DD" w:rsidRPr="00CE09DD">
        <w:rPr>
          <w:lang w:val="en-US" w:bidi="si-LK"/>
        </w:rPr>
        <w:t>Article 71b(2</w:t>
      </w:r>
      <w:r w:rsidR="00CE09DD">
        <w:rPr>
          <w:lang w:val="en-US" w:bidi="si-LK"/>
        </w:rPr>
        <w:t>)</w:t>
      </w:r>
      <w:r w:rsidR="00CE09DD" w:rsidRPr="00CE09DD">
        <w:rPr>
          <w:lang w:val="en-US" w:bidi="si-LK"/>
        </w:rPr>
        <w:t xml:space="preserve"> of Regulation 1215/2012</w:t>
      </w:r>
      <w:r w:rsidR="00CE09DD">
        <w:rPr>
          <w:lang w:val="en-US" w:bidi="si-LK"/>
        </w:rPr>
        <w:t xml:space="preserve"> stipulates that </w:t>
      </w:r>
      <w:r w:rsidR="00FE47C1" w:rsidRPr="00FE47C1">
        <w:rPr>
          <w:i/>
          <w:iCs/>
          <w:lang w:val="en-US" w:bidi="si-LK"/>
        </w:rPr>
        <w:t>“Application may be made to a common court for provisional, including protective, measures even if the courts of a third State have jurisdiction as to the substance of the matter”</w:t>
      </w:r>
      <w:r w:rsidR="00FE47C1">
        <w:rPr>
          <w:iCs/>
          <w:lang w:val="en-US" w:bidi="si-LK"/>
        </w:rPr>
        <w:t>.</w:t>
      </w:r>
    </w:p>
    <w:p w14:paraId="1CB42527" w14:textId="649C4C02" w:rsidR="002C3ED8" w:rsidRDefault="009D4321" w:rsidP="00CC33DA">
      <w:pPr>
        <w:pStyle w:val="bStandard20"/>
        <w:spacing w:before="120" w:after="240"/>
        <w:rPr>
          <w:lang w:val="en-US" w:bidi="si-LK"/>
        </w:rPr>
      </w:pPr>
      <w:r>
        <w:rPr>
          <w:lang w:val="en-US" w:bidi="si-LK"/>
        </w:rPr>
        <w:t xml:space="preserve">Again, the CoA </w:t>
      </w:r>
      <w:r w:rsidR="00917837">
        <w:rPr>
          <w:lang w:val="en-US" w:bidi="si-LK"/>
        </w:rPr>
        <w:t>refers</w:t>
      </w:r>
      <w:r>
        <w:rPr>
          <w:lang w:val="en-US" w:bidi="si-LK"/>
        </w:rPr>
        <w:t xml:space="preserve"> to the </w:t>
      </w:r>
      <w:r w:rsidR="00823CC9">
        <w:rPr>
          <w:lang w:val="en-US" w:bidi="si-LK"/>
        </w:rPr>
        <w:t>established case law</w:t>
      </w:r>
      <w:r w:rsidR="00A93FB7">
        <w:rPr>
          <w:lang w:val="en-US" w:bidi="si-LK"/>
        </w:rPr>
        <w:t xml:space="preserve"> on the interpretation of Regulation 1215/2012</w:t>
      </w:r>
      <w:r w:rsidR="00823CC9">
        <w:rPr>
          <w:lang w:val="en-US" w:bidi="si-LK"/>
        </w:rPr>
        <w:t xml:space="preserve">, clarifying that there is no </w:t>
      </w:r>
      <w:r w:rsidR="00F1428F" w:rsidRPr="00F1428F">
        <w:rPr>
          <w:i/>
          <w:lang w:val="en-US" w:bidi="si-LK"/>
        </w:rPr>
        <w:t>per se</w:t>
      </w:r>
      <w:r w:rsidR="00823CC9">
        <w:rPr>
          <w:lang w:val="en-US" w:bidi="si-LK"/>
        </w:rPr>
        <w:t xml:space="preserve"> </w:t>
      </w:r>
      <w:r w:rsidR="00F1428F">
        <w:rPr>
          <w:lang w:val="en-US" w:bidi="si-LK"/>
        </w:rPr>
        <w:t>international jurisdiction for applications for provisional measures</w:t>
      </w:r>
      <w:r w:rsidR="00917837">
        <w:rPr>
          <w:lang w:val="en-US" w:bidi="si-LK"/>
        </w:rPr>
        <w:t xml:space="preserve">, and </w:t>
      </w:r>
      <w:r w:rsidR="002D7C76">
        <w:rPr>
          <w:lang w:val="en-US" w:bidi="si-LK"/>
        </w:rPr>
        <w:t>points</w:t>
      </w:r>
      <w:r w:rsidR="00917837">
        <w:rPr>
          <w:lang w:val="en-US" w:bidi="si-LK"/>
        </w:rPr>
        <w:t xml:space="preserve"> out that</w:t>
      </w:r>
      <w:r w:rsidR="00AB54EA">
        <w:rPr>
          <w:lang w:val="en-US" w:bidi="si-LK"/>
        </w:rPr>
        <w:t xml:space="preserve">, instead, </w:t>
      </w:r>
      <w:r w:rsidR="00054544">
        <w:rPr>
          <w:lang w:val="en-US" w:bidi="si-LK"/>
        </w:rPr>
        <w:t xml:space="preserve">there must be a </w:t>
      </w:r>
      <w:r w:rsidR="00054544" w:rsidRPr="0091689D">
        <w:rPr>
          <w:i/>
          <w:iCs/>
          <w:lang w:val="en-US" w:bidi="si-LK"/>
        </w:rPr>
        <w:t>“real connecting link”</w:t>
      </w:r>
      <w:r w:rsidR="00917837" w:rsidRPr="0091689D">
        <w:rPr>
          <w:i/>
          <w:iCs/>
          <w:lang w:val="en-US" w:bidi="si-LK"/>
        </w:rPr>
        <w:t xml:space="preserve"> </w:t>
      </w:r>
      <w:r w:rsidR="00FE47C1">
        <w:rPr>
          <w:lang w:val="en-US" w:bidi="si-LK"/>
        </w:rPr>
        <w:t xml:space="preserve"> </w:t>
      </w:r>
      <w:r w:rsidR="00630D3A" w:rsidRPr="00630D3A">
        <w:rPr>
          <w:lang w:val="en-US" w:bidi="si-LK"/>
        </w:rPr>
        <w:t xml:space="preserve">between the subject-matter of the measures sought and the territorial jurisdiction of the </w:t>
      </w:r>
      <w:r w:rsidR="0091689D">
        <w:rPr>
          <w:lang w:val="en-US" w:bidi="si-LK"/>
        </w:rPr>
        <w:t>state</w:t>
      </w:r>
      <w:r w:rsidR="00630D3A" w:rsidRPr="00630D3A">
        <w:rPr>
          <w:lang w:val="en-US" w:bidi="si-LK"/>
        </w:rPr>
        <w:t xml:space="preserve"> of the court before which those measures are sought</w:t>
      </w:r>
      <w:r w:rsidR="0091689D">
        <w:rPr>
          <w:lang w:val="en-US" w:bidi="si-LK"/>
        </w:rPr>
        <w:t xml:space="preserve"> (</w:t>
      </w:r>
      <w:r w:rsidR="004B0925" w:rsidRPr="004B0925">
        <w:rPr>
          <w:lang w:val="en-US" w:bidi="si-LK"/>
        </w:rPr>
        <w:t xml:space="preserve">ECJ, judgement of 17 November 1998, </w:t>
      </w:r>
      <w:r w:rsidR="004B0925" w:rsidRPr="002C3ED8">
        <w:rPr>
          <w:i/>
          <w:iCs/>
          <w:lang w:val="en-US" w:bidi="si-LK"/>
        </w:rPr>
        <w:t xml:space="preserve">Van Uden v </w:t>
      </w:r>
      <w:proofErr w:type="spellStart"/>
      <w:r w:rsidR="004B0925" w:rsidRPr="002C3ED8">
        <w:rPr>
          <w:i/>
          <w:iCs/>
          <w:lang w:val="en-US" w:bidi="si-LK"/>
        </w:rPr>
        <w:t>Decoline</w:t>
      </w:r>
      <w:proofErr w:type="spellEnd"/>
      <w:r w:rsidR="004B0925" w:rsidRPr="004B0925">
        <w:rPr>
          <w:lang w:val="en-US" w:bidi="si-LK"/>
        </w:rPr>
        <w:t>, C-391/95</w:t>
      </w:r>
      <w:r w:rsidR="002C3ED8">
        <w:rPr>
          <w:lang w:val="en-US" w:bidi="si-LK"/>
        </w:rPr>
        <w:t>).</w:t>
      </w:r>
    </w:p>
    <w:p w14:paraId="1DCC3E99" w14:textId="5EF112E2" w:rsidR="00A35275" w:rsidRDefault="005A0F0D" w:rsidP="00E55D62">
      <w:pPr>
        <w:pStyle w:val="bStandard20"/>
        <w:spacing w:before="120" w:after="240"/>
        <w:rPr>
          <w:lang w:val="en-US" w:bidi="si-LK"/>
        </w:rPr>
      </w:pPr>
      <w:r>
        <w:rPr>
          <w:lang w:val="en-US" w:bidi="si-LK"/>
        </w:rPr>
        <w:t>T</w:t>
      </w:r>
      <w:r w:rsidR="006D5F70">
        <w:rPr>
          <w:lang w:val="en-US" w:bidi="si-LK"/>
        </w:rPr>
        <w:t xml:space="preserve">he CoA asks whether such </w:t>
      </w:r>
      <w:r w:rsidR="00976DD3">
        <w:rPr>
          <w:lang w:val="en-US" w:bidi="si-LK"/>
        </w:rPr>
        <w:t xml:space="preserve">nexus is given in case of </w:t>
      </w:r>
      <w:r w:rsidR="00976DD3" w:rsidRPr="00976DD3">
        <w:rPr>
          <w:i/>
          <w:iCs/>
          <w:lang w:val="en-US" w:bidi="si-LK"/>
        </w:rPr>
        <w:t>“cross-border”</w:t>
      </w:r>
      <w:r w:rsidR="00976DD3">
        <w:rPr>
          <w:lang w:val="en-US" w:bidi="si-LK"/>
        </w:rPr>
        <w:t xml:space="preserve"> cases</w:t>
      </w:r>
      <w:r w:rsidR="00FF3D42">
        <w:rPr>
          <w:lang w:val="en-US" w:bidi="si-LK"/>
        </w:rPr>
        <w:t xml:space="preserve"> extending outside of </w:t>
      </w:r>
      <w:r w:rsidR="000E37FE">
        <w:rPr>
          <w:lang w:val="en-US" w:bidi="si-LK"/>
        </w:rPr>
        <w:t>the territory of the UPC</w:t>
      </w:r>
      <w:r w:rsidR="00976DD3">
        <w:rPr>
          <w:lang w:val="en-US" w:bidi="si-LK"/>
        </w:rPr>
        <w:t xml:space="preserve">, where the same </w:t>
      </w:r>
      <w:r w:rsidR="00850ECE" w:rsidRPr="00850ECE">
        <w:rPr>
          <w:lang w:val="en-US" w:bidi="si-LK"/>
        </w:rPr>
        <w:t>products</w:t>
      </w:r>
      <w:r w:rsidR="00850ECE">
        <w:rPr>
          <w:lang w:val="en-US" w:bidi="si-LK"/>
        </w:rPr>
        <w:t xml:space="preserve"> are offered</w:t>
      </w:r>
      <w:r w:rsidR="00850ECE" w:rsidRPr="00850ECE">
        <w:rPr>
          <w:lang w:val="en-US" w:bidi="si-LK"/>
        </w:rPr>
        <w:t xml:space="preserve"> in all these EU Member States through websites that are identical </w:t>
      </w:r>
      <w:r w:rsidR="00850ECE">
        <w:rPr>
          <w:lang w:val="en-US" w:bidi="si-LK"/>
        </w:rPr>
        <w:t>except</w:t>
      </w:r>
      <w:r w:rsidR="00850ECE" w:rsidRPr="00850ECE">
        <w:rPr>
          <w:lang w:val="en-US" w:bidi="si-LK"/>
        </w:rPr>
        <w:t xml:space="preserve"> for the language</w:t>
      </w:r>
      <w:r w:rsidR="00F21E8B">
        <w:rPr>
          <w:lang w:val="en-US" w:bidi="si-LK"/>
        </w:rPr>
        <w:t xml:space="preserve"> (second question)</w:t>
      </w:r>
      <w:r w:rsidR="00E55D62">
        <w:rPr>
          <w:lang w:val="en-US" w:bidi="si-LK"/>
        </w:rPr>
        <w:t xml:space="preserve">, or </w:t>
      </w:r>
      <w:r w:rsidR="00E55D62" w:rsidRPr="00E55D62">
        <w:rPr>
          <w:lang w:val="en-US" w:bidi="si-LK"/>
        </w:rPr>
        <w:t>where the defendant</w:t>
      </w:r>
      <w:r w:rsidR="004E254C">
        <w:rPr>
          <w:lang w:val="en-US" w:bidi="si-LK"/>
        </w:rPr>
        <w:t xml:space="preserve"> – additionally –</w:t>
      </w:r>
      <w:r w:rsidR="00E55D62" w:rsidRPr="00E55D62">
        <w:rPr>
          <w:lang w:val="en-US" w:bidi="si-LK"/>
        </w:rPr>
        <w:t xml:space="preserve"> uses the services of an intermediary </w:t>
      </w:r>
      <w:r w:rsidR="00CB1AD9">
        <w:rPr>
          <w:lang w:val="en-US" w:bidi="si-LK"/>
        </w:rPr>
        <w:t>having</w:t>
      </w:r>
      <w:r w:rsidR="00E55D62">
        <w:rPr>
          <w:lang w:val="en-US" w:bidi="si-LK"/>
        </w:rPr>
        <w:t xml:space="preserve"> a seat in </w:t>
      </w:r>
      <w:r w:rsidR="00CB1AD9">
        <w:rPr>
          <w:lang w:val="en-US" w:bidi="si-LK"/>
        </w:rPr>
        <w:t xml:space="preserve">the UPC territory (third question). </w:t>
      </w:r>
    </w:p>
    <w:p w14:paraId="1765A37F" w14:textId="77777777" w:rsidR="00C30D3B" w:rsidRDefault="00C30D3B" w:rsidP="00CC33DA">
      <w:pPr>
        <w:pStyle w:val="bStandard20"/>
        <w:spacing w:before="120" w:after="240"/>
        <w:rPr>
          <w:lang w:val="en-US" w:bidi="si-LK"/>
        </w:rPr>
      </w:pPr>
    </w:p>
    <w:p w14:paraId="6CB83F17" w14:textId="521652D7" w:rsidR="000D20FD" w:rsidRDefault="004A3416" w:rsidP="000E31C0">
      <w:pPr>
        <w:rPr>
          <w:b/>
          <w:bCs/>
          <w:lang w:val="en-US" w:bidi="si-LK"/>
        </w:rPr>
      </w:pPr>
      <w:r>
        <w:rPr>
          <w:b/>
          <w:bCs/>
          <w:lang w:val="en-US" w:bidi="si-LK"/>
        </w:rPr>
        <w:t xml:space="preserve">Fourth question: Definition of </w:t>
      </w:r>
      <w:r w:rsidRPr="00422CE5">
        <w:rPr>
          <w:b/>
          <w:bCs/>
          <w:i/>
          <w:iCs/>
          <w:lang w:val="en-US" w:bidi="si-LK"/>
        </w:rPr>
        <w:t>“intermediary”</w:t>
      </w:r>
      <w:r>
        <w:rPr>
          <w:b/>
          <w:bCs/>
          <w:lang w:val="en-US" w:bidi="si-LK"/>
        </w:rPr>
        <w:t xml:space="preserve"> </w:t>
      </w:r>
      <w:r w:rsidR="00422CE5">
        <w:rPr>
          <w:b/>
          <w:bCs/>
          <w:lang w:val="en-US" w:bidi="si-LK"/>
        </w:rPr>
        <w:t xml:space="preserve">in </w:t>
      </w:r>
      <w:r w:rsidR="00B47BAE" w:rsidRPr="00B47BAE">
        <w:rPr>
          <w:b/>
          <w:bCs/>
          <w:lang w:val="en-US" w:bidi="si-LK"/>
        </w:rPr>
        <w:t>Article 62(1) UPCA</w:t>
      </w:r>
      <w:r w:rsidR="00B47BAE">
        <w:rPr>
          <w:b/>
          <w:bCs/>
          <w:lang w:val="en-US" w:bidi="si-LK"/>
        </w:rPr>
        <w:t xml:space="preserve"> and </w:t>
      </w:r>
      <w:r w:rsidR="00422CE5">
        <w:rPr>
          <w:b/>
          <w:bCs/>
          <w:lang w:val="en-US" w:bidi="si-LK"/>
        </w:rPr>
        <w:t xml:space="preserve">Article </w:t>
      </w:r>
      <w:r w:rsidR="00422CE5" w:rsidRPr="00422CE5">
        <w:rPr>
          <w:b/>
          <w:bCs/>
          <w:lang w:val="en-US" w:bidi="si-LK"/>
        </w:rPr>
        <w:t>9(1)(a) of Directive 2004/48</w:t>
      </w:r>
    </w:p>
    <w:p w14:paraId="7C8940B8" w14:textId="6F290AB7" w:rsidR="00C0086F" w:rsidRDefault="00795021" w:rsidP="00C0086F">
      <w:pPr>
        <w:pStyle w:val="bStandard20"/>
        <w:spacing w:before="120" w:after="240"/>
        <w:rPr>
          <w:lang w:val="en-US" w:bidi="si-LK"/>
        </w:rPr>
      </w:pPr>
      <w:r>
        <w:rPr>
          <w:lang w:val="en-US" w:bidi="si-LK"/>
        </w:rPr>
        <w:t xml:space="preserve">For certain products, </w:t>
      </w:r>
      <w:r w:rsidR="00030E5D">
        <w:rPr>
          <w:lang w:val="en-US" w:bidi="si-LK"/>
        </w:rPr>
        <w:t>European</w:t>
      </w:r>
      <w:r>
        <w:rPr>
          <w:lang w:val="en-US" w:bidi="si-LK"/>
        </w:rPr>
        <w:t xml:space="preserve"> law requires</w:t>
      </w:r>
      <w:r w:rsidR="009926EC">
        <w:rPr>
          <w:lang w:val="en-US" w:bidi="si-LK"/>
        </w:rPr>
        <w:t xml:space="preserve"> the existence of</w:t>
      </w:r>
      <w:r w:rsidR="007225D0">
        <w:rPr>
          <w:lang w:val="en-US" w:bidi="si-LK"/>
        </w:rPr>
        <w:t xml:space="preserve"> an </w:t>
      </w:r>
      <w:r w:rsidR="007225D0" w:rsidRPr="007225D0">
        <w:rPr>
          <w:i/>
          <w:lang w:val="en-US" w:bidi="si-LK"/>
        </w:rPr>
        <w:t>“Authorized</w:t>
      </w:r>
      <w:r w:rsidR="007225D0">
        <w:rPr>
          <w:lang w:val="en-US" w:bidi="si-LK"/>
        </w:rPr>
        <w:t xml:space="preserve"> </w:t>
      </w:r>
      <w:r w:rsidR="007225D0" w:rsidRPr="007225D0">
        <w:rPr>
          <w:i/>
          <w:iCs/>
          <w:lang w:val="en-US" w:bidi="si-LK"/>
        </w:rPr>
        <w:t>Representative”</w:t>
      </w:r>
      <w:r w:rsidR="007225D0" w:rsidRPr="007225D0">
        <w:rPr>
          <w:lang w:val="en-US" w:bidi="si-LK"/>
        </w:rPr>
        <w:t xml:space="preserve"> or </w:t>
      </w:r>
      <w:r w:rsidR="007225D0" w:rsidRPr="007225D0">
        <w:rPr>
          <w:i/>
          <w:lang w:val="en-US" w:bidi="si-LK"/>
        </w:rPr>
        <w:t>“EU Representative”</w:t>
      </w:r>
      <w:r w:rsidR="007225D0" w:rsidRPr="007225D0">
        <w:rPr>
          <w:lang w:val="en-US" w:bidi="si-LK"/>
        </w:rPr>
        <w:t xml:space="preserve"> </w:t>
      </w:r>
      <w:r w:rsidR="00030E5D">
        <w:rPr>
          <w:lang w:val="en-US" w:bidi="si-LK"/>
        </w:rPr>
        <w:t>established in the EU</w:t>
      </w:r>
      <w:r w:rsidR="009926EC">
        <w:rPr>
          <w:lang w:val="en-US" w:bidi="si-LK"/>
        </w:rPr>
        <w:t xml:space="preserve">, who </w:t>
      </w:r>
      <w:r w:rsidR="00153E50">
        <w:rPr>
          <w:lang w:val="en-US" w:bidi="si-LK"/>
        </w:rPr>
        <w:t xml:space="preserve">is responsible for the </w:t>
      </w:r>
      <w:r w:rsidR="009926EC">
        <w:rPr>
          <w:lang w:val="en-US" w:bidi="si-LK"/>
        </w:rPr>
        <w:t>perform</w:t>
      </w:r>
      <w:r w:rsidR="00153E50">
        <w:rPr>
          <w:lang w:val="en-US" w:bidi="si-LK"/>
        </w:rPr>
        <w:t>ance of</w:t>
      </w:r>
      <w:r w:rsidR="009926EC">
        <w:rPr>
          <w:lang w:val="en-US" w:bidi="si-LK"/>
        </w:rPr>
        <w:t xml:space="preserve"> certain</w:t>
      </w:r>
      <w:r w:rsidR="00153E50">
        <w:rPr>
          <w:lang w:val="en-US" w:bidi="si-LK"/>
        </w:rPr>
        <w:t xml:space="preserve"> ta</w:t>
      </w:r>
      <w:r w:rsidR="00AE1F13">
        <w:rPr>
          <w:lang w:val="en-US" w:bidi="si-LK"/>
        </w:rPr>
        <w:t>sks</w:t>
      </w:r>
      <w:r w:rsidR="00B3494F">
        <w:rPr>
          <w:lang w:val="en-US" w:bidi="si-LK"/>
        </w:rPr>
        <w:t xml:space="preserve">, including representation </w:t>
      </w:r>
      <w:r w:rsidR="00B3494F" w:rsidRPr="00B3494F">
        <w:rPr>
          <w:lang w:val="en-US" w:bidi="si-LK"/>
        </w:rPr>
        <w:t>vis-à-vis the EU and national authorities, storing technical documentation and providing information</w:t>
      </w:r>
      <w:r w:rsidR="00AE1F13">
        <w:rPr>
          <w:lang w:val="en-US" w:bidi="si-LK"/>
        </w:rPr>
        <w:t xml:space="preserve">. In the present case, Eurep </w:t>
      </w:r>
      <w:r w:rsidR="00B3494F">
        <w:rPr>
          <w:lang w:val="en-US" w:bidi="si-LK"/>
        </w:rPr>
        <w:t>took over these tasks</w:t>
      </w:r>
      <w:r w:rsidR="007A5F5D">
        <w:rPr>
          <w:lang w:val="en-US" w:bidi="si-LK"/>
        </w:rPr>
        <w:t xml:space="preserve"> for </w:t>
      </w:r>
      <w:proofErr w:type="spellStart"/>
      <w:r w:rsidR="007A5F5D">
        <w:rPr>
          <w:lang w:val="en-US" w:bidi="si-LK"/>
        </w:rPr>
        <w:t>Dreame</w:t>
      </w:r>
      <w:proofErr w:type="spellEnd"/>
      <w:r w:rsidR="007A5F5D">
        <w:rPr>
          <w:lang w:val="en-US" w:bidi="si-LK"/>
        </w:rPr>
        <w:t xml:space="preserve"> International</w:t>
      </w:r>
      <w:r w:rsidR="00BE3925">
        <w:rPr>
          <w:lang w:val="en-US" w:bidi="si-LK"/>
        </w:rPr>
        <w:t xml:space="preserve"> for the products concerned in view of </w:t>
      </w:r>
      <w:r w:rsidR="0065020A">
        <w:rPr>
          <w:lang w:val="en-US" w:bidi="si-LK"/>
        </w:rPr>
        <w:t xml:space="preserve">EU </w:t>
      </w:r>
      <w:r w:rsidR="0065020A" w:rsidRPr="0065020A">
        <w:rPr>
          <w:lang w:val="en-US" w:bidi="si-LK"/>
        </w:rPr>
        <w:t>Regulations 2023/988 and 2019/1020</w:t>
      </w:r>
      <w:r w:rsidR="0065020A">
        <w:rPr>
          <w:lang w:val="en-US" w:bidi="si-LK"/>
        </w:rPr>
        <w:t>.</w:t>
      </w:r>
    </w:p>
    <w:p w14:paraId="78978016" w14:textId="67489A88" w:rsidR="00B266D7" w:rsidRDefault="00C0086F" w:rsidP="00D33998">
      <w:pPr>
        <w:pStyle w:val="bStandard20"/>
        <w:spacing w:before="120" w:after="240"/>
        <w:rPr>
          <w:lang w:val="en-US" w:bidi="si-LK"/>
        </w:rPr>
      </w:pPr>
      <w:r>
        <w:rPr>
          <w:lang w:val="en-US" w:bidi="si-LK"/>
        </w:rPr>
        <w:t xml:space="preserve">The CoA now asks whether </w:t>
      </w:r>
      <w:r w:rsidR="00383723">
        <w:rPr>
          <w:lang w:val="en-US" w:bidi="si-LK"/>
        </w:rPr>
        <w:t>providing such services</w:t>
      </w:r>
      <w:r w:rsidR="005A1929">
        <w:rPr>
          <w:lang w:val="en-US" w:bidi="si-LK"/>
        </w:rPr>
        <w:t xml:space="preserve"> in order to </w:t>
      </w:r>
      <w:r w:rsidR="00C261E8">
        <w:rPr>
          <w:lang w:val="en-US" w:bidi="si-LK"/>
        </w:rPr>
        <w:t>comply with regulations</w:t>
      </w:r>
      <w:r w:rsidR="00383723">
        <w:rPr>
          <w:lang w:val="en-US" w:bidi="si-LK"/>
        </w:rPr>
        <w:t xml:space="preserve"> </w:t>
      </w:r>
      <w:r w:rsidR="00EB5A34">
        <w:rPr>
          <w:lang w:val="en-US" w:bidi="si-LK"/>
        </w:rPr>
        <w:t xml:space="preserve">may also </w:t>
      </w:r>
      <w:r w:rsidR="00067935">
        <w:rPr>
          <w:lang w:val="en-US" w:bidi="si-LK"/>
        </w:rPr>
        <w:t xml:space="preserve">cause liability as an </w:t>
      </w:r>
      <w:r w:rsidR="00067935" w:rsidRPr="00CA1413">
        <w:rPr>
          <w:i/>
          <w:iCs/>
          <w:lang w:val="en-US" w:bidi="si-LK"/>
        </w:rPr>
        <w:t>“intermediary”</w:t>
      </w:r>
      <w:r w:rsidR="00067935">
        <w:rPr>
          <w:lang w:val="en-US" w:bidi="si-LK"/>
        </w:rPr>
        <w:t xml:space="preserve"> pursuant to</w:t>
      </w:r>
      <w:r w:rsidR="005E6746">
        <w:rPr>
          <w:lang w:val="en-US" w:bidi="si-LK"/>
        </w:rPr>
        <w:t xml:space="preserve"> </w:t>
      </w:r>
      <w:r w:rsidR="00067935" w:rsidRPr="00067935">
        <w:rPr>
          <w:lang w:val="en-US" w:bidi="si-LK"/>
        </w:rPr>
        <w:t xml:space="preserve">Article 62(1) UPCA </w:t>
      </w:r>
      <w:r w:rsidR="00067935">
        <w:rPr>
          <w:lang w:val="en-US" w:bidi="si-LK"/>
        </w:rPr>
        <w:t>(which implements</w:t>
      </w:r>
      <w:r w:rsidR="00067935" w:rsidRPr="00067935">
        <w:rPr>
          <w:lang w:val="en-US" w:bidi="si-LK"/>
        </w:rPr>
        <w:t xml:space="preserve"> Article 9(1)(a) of Directive 2004/48</w:t>
      </w:r>
      <w:r w:rsidR="00067935">
        <w:rPr>
          <w:lang w:val="en-US" w:bidi="si-LK"/>
        </w:rPr>
        <w:t>)</w:t>
      </w:r>
      <w:r w:rsidR="00CA1413">
        <w:rPr>
          <w:lang w:val="en-US" w:bidi="si-LK"/>
        </w:rPr>
        <w:t xml:space="preserve">, because the case law up to date has only dealt with intermediaries providing services </w:t>
      </w:r>
      <w:r w:rsidR="00C261E8" w:rsidRPr="00C261E8">
        <w:rPr>
          <w:lang w:val="en-US" w:bidi="si-LK"/>
        </w:rPr>
        <w:t>enabl</w:t>
      </w:r>
      <w:r w:rsidR="00C261E8">
        <w:rPr>
          <w:lang w:val="en-US" w:bidi="si-LK"/>
        </w:rPr>
        <w:t>ing</w:t>
      </w:r>
      <w:r w:rsidR="00C261E8" w:rsidRPr="00C261E8">
        <w:rPr>
          <w:lang w:val="en-US" w:bidi="si-LK"/>
        </w:rPr>
        <w:t xml:space="preserve"> the alleged</w:t>
      </w:r>
      <w:r w:rsidR="00C261E8">
        <w:rPr>
          <w:lang w:val="en-US" w:bidi="si-LK"/>
        </w:rPr>
        <w:t>ly</w:t>
      </w:r>
      <w:r w:rsidR="00C261E8" w:rsidRPr="00C261E8">
        <w:rPr>
          <w:lang w:val="en-US" w:bidi="si-LK"/>
        </w:rPr>
        <w:t xml:space="preserve"> infringing act of a third party </w:t>
      </w:r>
      <w:r w:rsidR="00C261E8" w:rsidRPr="00C261E8">
        <w:rPr>
          <w:i/>
          <w:iCs/>
          <w:lang w:val="en-US" w:bidi="si-LK"/>
        </w:rPr>
        <w:t>“in fact”</w:t>
      </w:r>
      <w:r w:rsidR="00C261E8">
        <w:rPr>
          <w:lang w:val="en-US" w:bidi="si-LK"/>
        </w:rPr>
        <w:t>.</w:t>
      </w:r>
    </w:p>
    <w:p w14:paraId="0969E13D" w14:textId="309740AB" w:rsidR="00C578CC" w:rsidRDefault="002F6458" w:rsidP="00BB2D3E">
      <w:pPr>
        <w:pStyle w:val="bStandard20"/>
        <w:spacing w:before="120" w:after="240"/>
        <w:rPr>
          <w:lang w:val="en-US" w:bidi="si-LK"/>
        </w:rPr>
      </w:pPr>
      <w:r>
        <w:rPr>
          <w:b/>
          <w:bCs/>
          <w:lang w:val="en-US" w:bidi="si-LK"/>
        </w:rPr>
        <w:t>Relevance of the CoA’s decision</w:t>
      </w:r>
    </w:p>
    <w:p w14:paraId="701B99D2" w14:textId="48381AB2" w:rsidR="00F95733" w:rsidRDefault="00CE45FB" w:rsidP="00EE4AAB">
      <w:pPr>
        <w:pStyle w:val="bStandard20"/>
        <w:spacing w:before="120" w:after="240"/>
        <w:rPr>
          <w:lang w:val="en-US" w:bidi="si-LK"/>
        </w:rPr>
      </w:pPr>
      <w:r>
        <w:rPr>
          <w:lang w:val="en-US" w:bidi="si-LK"/>
        </w:rPr>
        <w:t>Th</w:t>
      </w:r>
      <w:r w:rsidR="00334F3A">
        <w:rPr>
          <w:lang w:val="en-US" w:bidi="si-LK"/>
        </w:rPr>
        <w:t>e C</w:t>
      </w:r>
      <w:r w:rsidR="00092112">
        <w:rPr>
          <w:lang w:val="en-US" w:bidi="si-LK"/>
        </w:rPr>
        <w:t>oA’s decision</w:t>
      </w:r>
      <w:r w:rsidR="00BD73D4">
        <w:rPr>
          <w:lang w:val="en-US" w:bidi="si-LK"/>
        </w:rPr>
        <w:t xml:space="preserve"> in </w:t>
      </w:r>
      <w:r w:rsidR="00485AA9" w:rsidRPr="00485AA9">
        <w:rPr>
          <w:i/>
          <w:iCs/>
          <w:lang w:val="en-US" w:bidi="si-LK"/>
        </w:rPr>
        <w:t xml:space="preserve">Dyson v </w:t>
      </w:r>
      <w:proofErr w:type="spellStart"/>
      <w:r w:rsidR="00485AA9" w:rsidRPr="00485AA9">
        <w:rPr>
          <w:i/>
          <w:iCs/>
          <w:lang w:val="en-US" w:bidi="si-LK"/>
        </w:rPr>
        <w:t>Dreame</w:t>
      </w:r>
      <w:proofErr w:type="spellEnd"/>
      <w:r w:rsidR="00092112">
        <w:rPr>
          <w:lang w:val="en-US" w:bidi="si-LK"/>
        </w:rPr>
        <w:t xml:space="preserve"> </w:t>
      </w:r>
      <w:r w:rsidR="00464030">
        <w:rPr>
          <w:lang w:val="en-US" w:bidi="si-LK"/>
        </w:rPr>
        <w:t>constitutes a landmark</w:t>
      </w:r>
      <w:r w:rsidR="00F95733">
        <w:rPr>
          <w:lang w:val="en-US" w:bidi="si-LK"/>
        </w:rPr>
        <w:t xml:space="preserve"> already because it is the first UPC referral to the </w:t>
      </w:r>
      <w:r w:rsidR="00BD73D4">
        <w:rPr>
          <w:lang w:val="en-US" w:bidi="si-LK"/>
        </w:rPr>
        <w:t>CJEU</w:t>
      </w:r>
      <w:r w:rsidR="00F95733">
        <w:rPr>
          <w:lang w:val="en-US" w:bidi="si-LK"/>
        </w:rPr>
        <w:t xml:space="preserve">. </w:t>
      </w:r>
      <w:r w:rsidR="00BC2EB8">
        <w:rPr>
          <w:lang w:val="en-US" w:bidi="si-LK"/>
        </w:rPr>
        <w:t xml:space="preserve">And while it does not </w:t>
      </w:r>
      <w:r w:rsidR="00C829AC">
        <w:rPr>
          <w:lang w:val="en-US" w:bidi="si-LK"/>
        </w:rPr>
        <w:t>put into question that</w:t>
      </w:r>
      <w:r w:rsidR="00414A66">
        <w:rPr>
          <w:lang w:val="en-US" w:bidi="si-LK"/>
        </w:rPr>
        <w:t xml:space="preserve"> </w:t>
      </w:r>
      <w:r w:rsidR="00BD73D4">
        <w:rPr>
          <w:lang w:val="en-US" w:bidi="si-LK"/>
        </w:rPr>
        <w:t xml:space="preserve">the </w:t>
      </w:r>
      <w:r w:rsidR="00C829AC">
        <w:rPr>
          <w:lang w:val="en-US" w:bidi="si-LK"/>
        </w:rPr>
        <w:t>Court may extend a</w:t>
      </w:r>
      <w:r w:rsidR="00BD73D4">
        <w:rPr>
          <w:lang w:val="en-US" w:bidi="si-LK"/>
        </w:rPr>
        <w:t xml:space="preserve"> </w:t>
      </w:r>
      <w:r w:rsidR="00642A1D" w:rsidRPr="00642A1D">
        <w:rPr>
          <w:i/>
          <w:iCs/>
          <w:lang w:val="en-US" w:bidi="si-LK"/>
        </w:rPr>
        <w:t>“long arm”</w:t>
      </w:r>
      <w:r w:rsidR="00642A1D">
        <w:rPr>
          <w:lang w:val="en-US" w:bidi="si-LK"/>
        </w:rPr>
        <w:t xml:space="preserve"> </w:t>
      </w:r>
      <w:r w:rsidR="00911507">
        <w:rPr>
          <w:lang w:val="en-US" w:bidi="si-LK"/>
        </w:rPr>
        <w:t>outside of</w:t>
      </w:r>
      <w:r w:rsidR="003A4281">
        <w:rPr>
          <w:lang w:val="en-US" w:bidi="si-LK"/>
        </w:rPr>
        <w:t xml:space="preserve"> the </w:t>
      </w:r>
      <w:r w:rsidR="00C829AC">
        <w:rPr>
          <w:lang w:val="en-US" w:bidi="si-LK"/>
        </w:rPr>
        <w:t>UPC territory</w:t>
      </w:r>
      <w:r w:rsidR="00642A1D">
        <w:rPr>
          <w:lang w:val="en-US" w:bidi="si-LK"/>
        </w:rPr>
        <w:t xml:space="preserve">, it </w:t>
      </w:r>
      <w:r w:rsidR="00911507">
        <w:rPr>
          <w:lang w:val="en-US" w:bidi="si-LK"/>
        </w:rPr>
        <w:t>asks for answer</w:t>
      </w:r>
      <w:r w:rsidR="00A6480B">
        <w:rPr>
          <w:lang w:val="en-US" w:bidi="si-LK"/>
        </w:rPr>
        <w:t xml:space="preserve">s </w:t>
      </w:r>
      <w:r w:rsidR="00911507">
        <w:rPr>
          <w:lang w:val="en-US" w:bidi="si-LK"/>
        </w:rPr>
        <w:t>to</w:t>
      </w:r>
      <w:r w:rsidR="00642A1D">
        <w:rPr>
          <w:lang w:val="en-US" w:bidi="si-LK"/>
        </w:rPr>
        <w:t xml:space="preserve"> </w:t>
      </w:r>
      <w:r w:rsidR="003A4281">
        <w:rPr>
          <w:lang w:val="en-US" w:bidi="si-LK"/>
        </w:rPr>
        <w:t xml:space="preserve">a number of interesting and relevant questions </w:t>
      </w:r>
      <w:r w:rsidR="00911507">
        <w:rPr>
          <w:lang w:val="en-US" w:bidi="si-LK"/>
        </w:rPr>
        <w:t xml:space="preserve">regarding </w:t>
      </w:r>
      <w:r w:rsidR="00A6480B">
        <w:rPr>
          <w:lang w:val="en-US" w:bidi="si-LK"/>
        </w:rPr>
        <w:t xml:space="preserve">the UPC’s </w:t>
      </w:r>
      <w:r w:rsidR="003A4281">
        <w:rPr>
          <w:lang w:val="en-US" w:bidi="si-LK"/>
        </w:rPr>
        <w:t>international jurisdiction</w:t>
      </w:r>
      <w:r w:rsidR="00A6480B">
        <w:rPr>
          <w:lang w:val="en-US" w:bidi="si-LK"/>
        </w:rPr>
        <w:t>.</w:t>
      </w:r>
    </w:p>
    <w:p w14:paraId="3D1144A6" w14:textId="676849FF" w:rsidR="00E76CD0" w:rsidRDefault="00B071FA" w:rsidP="00E76CD0">
      <w:pPr>
        <w:pStyle w:val="bStandard20"/>
        <w:spacing w:before="120" w:after="240"/>
        <w:rPr>
          <w:lang w:val="en-US" w:bidi="si-LK"/>
        </w:rPr>
      </w:pPr>
      <w:r>
        <w:rPr>
          <w:lang w:val="en-US" w:bidi="si-LK"/>
        </w:rPr>
        <w:t>International jurisdiction is</w:t>
      </w:r>
      <w:r w:rsidR="00E76CD0">
        <w:rPr>
          <w:lang w:val="en-US" w:bidi="si-LK"/>
        </w:rPr>
        <w:t xml:space="preserve"> </w:t>
      </w:r>
      <w:r w:rsidR="001943F4">
        <w:rPr>
          <w:lang w:val="en-US" w:bidi="si-LK"/>
        </w:rPr>
        <w:t xml:space="preserve">usually </w:t>
      </w:r>
      <w:r w:rsidR="00E76CD0">
        <w:rPr>
          <w:lang w:val="en-US" w:bidi="si-LK"/>
        </w:rPr>
        <w:t>one of</w:t>
      </w:r>
      <w:r>
        <w:rPr>
          <w:lang w:val="en-US" w:bidi="si-LK"/>
        </w:rPr>
        <w:t xml:space="preserve"> the starting point</w:t>
      </w:r>
      <w:r w:rsidR="001943F4">
        <w:rPr>
          <w:lang w:val="en-US" w:bidi="si-LK"/>
        </w:rPr>
        <w:t>s</w:t>
      </w:r>
      <w:r>
        <w:rPr>
          <w:lang w:val="en-US" w:bidi="si-LK"/>
        </w:rPr>
        <w:t xml:space="preserve"> for the </w:t>
      </w:r>
      <w:r w:rsidR="00E76CD0">
        <w:rPr>
          <w:lang w:val="en-US" w:bidi="si-LK"/>
        </w:rPr>
        <w:t>patentee’s considerations on where to file an infringement action</w:t>
      </w:r>
      <w:r w:rsidR="00D24EA8">
        <w:rPr>
          <w:lang w:val="en-US" w:bidi="si-LK"/>
        </w:rPr>
        <w:t xml:space="preserve"> and, as can be seen from the present case, against whom. </w:t>
      </w:r>
      <w:r w:rsidR="008F1469">
        <w:rPr>
          <w:lang w:val="en-US" w:bidi="si-LK"/>
        </w:rPr>
        <w:t>In this regard, g</w:t>
      </w:r>
      <w:r w:rsidR="00D24EA8">
        <w:rPr>
          <w:lang w:val="en-US" w:bidi="si-LK"/>
        </w:rPr>
        <w:t xml:space="preserve">rouping defendants </w:t>
      </w:r>
      <w:r w:rsidR="001F2950">
        <w:rPr>
          <w:lang w:val="en-US" w:bidi="si-LK"/>
        </w:rPr>
        <w:t>to establish jurisdiction</w:t>
      </w:r>
      <w:r w:rsidR="008F1469">
        <w:rPr>
          <w:lang w:val="en-US" w:bidi="si-LK"/>
        </w:rPr>
        <w:t xml:space="preserve"> of the UPC</w:t>
      </w:r>
      <w:r w:rsidR="001F2950">
        <w:rPr>
          <w:lang w:val="en-US" w:bidi="si-LK"/>
        </w:rPr>
        <w:t xml:space="preserve"> </w:t>
      </w:r>
      <w:r w:rsidR="00B22F63">
        <w:rPr>
          <w:lang w:val="en-US" w:bidi="si-LK"/>
        </w:rPr>
        <w:t xml:space="preserve">(or a national Court) </w:t>
      </w:r>
      <w:r w:rsidR="002749A9">
        <w:rPr>
          <w:lang w:val="en-US" w:bidi="si-LK"/>
        </w:rPr>
        <w:t xml:space="preserve">at the seat of an </w:t>
      </w:r>
      <w:r w:rsidR="002749A9" w:rsidRPr="002749A9">
        <w:rPr>
          <w:i/>
          <w:iCs/>
          <w:lang w:val="en-US" w:bidi="si-LK"/>
        </w:rPr>
        <w:t xml:space="preserve">“anchor defendant” </w:t>
      </w:r>
      <w:r w:rsidR="00120211">
        <w:rPr>
          <w:lang w:val="en-US" w:bidi="si-LK"/>
        </w:rPr>
        <w:t xml:space="preserve">can be an effective tool particularly </w:t>
      </w:r>
      <w:r w:rsidR="00FD0845">
        <w:rPr>
          <w:lang w:val="en-US" w:bidi="si-LK"/>
        </w:rPr>
        <w:t>regarding</w:t>
      </w:r>
      <w:r w:rsidR="00E24B26">
        <w:rPr>
          <w:lang w:val="en-US" w:bidi="si-LK"/>
        </w:rPr>
        <w:t xml:space="preserve"> potential infringers </w:t>
      </w:r>
      <w:r w:rsidR="00C84788">
        <w:rPr>
          <w:lang w:val="en-US" w:bidi="si-LK"/>
        </w:rPr>
        <w:t xml:space="preserve">established </w:t>
      </w:r>
      <w:r w:rsidR="00E24B26">
        <w:rPr>
          <w:lang w:val="en-US" w:bidi="si-LK"/>
        </w:rPr>
        <w:t>outside of the UPC territory or even</w:t>
      </w:r>
      <w:r w:rsidR="002749A9">
        <w:rPr>
          <w:lang w:val="en-US" w:bidi="si-LK"/>
        </w:rPr>
        <w:t xml:space="preserve"> outside of</w:t>
      </w:r>
      <w:r w:rsidR="00E24B26">
        <w:rPr>
          <w:lang w:val="en-US" w:bidi="si-LK"/>
        </w:rPr>
        <w:t xml:space="preserve"> the EU.</w:t>
      </w:r>
      <w:r w:rsidR="006E7699">
        <w:rPr>
          <w:lang w:val="en-US" w:bidi="si-LK"/>
        </w:rPr>
        <w:t xml:space="preserve"> </w:t>
      </w:r>
      <w:r w:rsidR="008C17AD">
        <w:rPr>
          <w:lang w:val="en-US" w:bidi="si-LK"/>
        </w:rPr>
        <w:t xml:space="preserve">For such considerations, </w:t>
      </w:r>
      <w:r w:rsidR="007161D4">
        <w:rPr>
          <w:lang w:val="en-US" w:bidi="si-LK"/>
        </w:rPr>
        <w:t>the answers to the referred questions will provide valuable guidance</w:t>
      </w:r>
      <w:r w:rsidR="00603E17">
        <w:rPr>
          <w:lang w:val="en-US" w:bidi="si-LK"/>
        </w:rPr>
        <w:t xml:space="preserve">, </w:t>
      </w:r>
      <w:r w:rsidR="00116DC3">
        <w:rPr>
          <w:lang w:val="en-US" w:bidi="si-LK"/>
        </w:rPr>
        <w:t>all the more</w:t>
      </w:r>
      <w:r w:rsidR="00603E17">
        <w:rPr>
          <w:lang w:val="en-US" w:bidi="si-LK"/>
        </w:rPr>
        <w:t xml:space="preserve"> </w:t>
      </w:r>
      <w:r w:rsidR="00603E17">
        <w:rPr>
          <w:lang w:val="en-US" w:bidi="si-LK"/>
        </w:rPr>
        <w:lastRenderedPageBreak/>
        <w:t xml:space="preserve">if groupings can include representatives </w:t>
      </w:r>
      <w:r w:rsidR="00422C07">
        <w:rPr>
          <w:lang w:val="en-US" w:bidi="si-LK"/>
        </w:rPr>
        <w:t>appointed for regulatory reasons</w:t>
      </w:r>
      <w:r w:rsidR="00335823">
        <w:rPr>
          <w:lang w:val="en-US" w:bidi="si-LK"/>
        </w:rPr>
        <w:t>,</w:t>
      </w:r>
      <w:r w:rsidR="00422C07">
        <w:rPr>
          <w:lang w:val="en-US" w:bidi="si-LK"/>
        </w:rPr>
        <w:t xml:space="preserve"> which concerns </w:t>
      </w:r>
      <w:r w:rsidR="00335823">
        <w:rPr>
          <w:lang w:val="en-US" w:bidi="si-LK"/>
        </w:rPr>
        <w:t>many</w:t>
      </w:r>
      <w:r w:rsidR="00422C07">
        <w:rPr>
          <w:lang w:val="en-US" w:bidi="si-LK"/>
        </w:rPr>
        <w:t xml:space="preserve"> products</w:t>
      </w:r>
      <w:r w:rsidR="007161D4">
        <w:rPr>
          <w:lang w:val="en-US" w:bidi="si-LK"/>
        </w:rPr>
        <w:t>.</w:t>
      </w:r>
    </w:p>
    <w:p w14:paraId="14FF63A1" w14:textId="0637ED4C" w:rsidR="00E7097E" w:rsidRDefault="00E7097E" w:rsidP="00E76CD0">
      <w:pPr>
        <w:pStyle w:val="bStandard20"/>
        <w:spacing w:before="120" w:after="240"/>
        <w:rPr>
          <w:lang w:val="en-US" w:bidi="si-LK"/>
        </w:rPr>
      </w:pPr>
      <w:r>
        <w:rPr>
          <w:lang w:val="en-US" w:bidi="si-LK"/>
        </w:rPr>
        <w:t xml:space="preserve">In the case at hand, </w:t>
      </w:r>
      <w:r w:rsidR="00503A53">
        <w:rPr>
          <w:lang w:val="en-US" w:bidi="si-LK"/>
        </w:rPr>
        <w:t xml:space="preserve">the UPC’s international jurisdiction regarding China-based </w:t>
      </w:r>
      <w:proofErr w:type="spellStart"/>
      <w:r w:rsidR="00503A53">
        <w:rPr>
          <w:lang w:val="en-US" w:bidi="si-LK"/>
        </w:rPr>
        <w:t>Dreame</w:t>
      </w:r>
      <w:proofErr w:type="spellEnd"/>
      <w:r w:rsidR="00503A53">
        <w:rPr>
          <w:lang w:val="en-US" w:bidi="si-LK"/>
        </w:rPr>
        <w:t xml:space="preserve"> International </w:t>
      </w:r>
      <w:r w:rsidR="0081035F">
        <w:rPr>
          <w:lang w:val="en-US" w:bidi="si-LK"/>
        </w:rPr>
        <w:t xml:space="preserve">for all infringing activities in the UPC territory </w:t>
      </w:r>
      <w:r w:rsidR="002856EE">
        <w:rPr>
          <w:lang w:val="en-US" w:bidi="si-LK"/>
        </w:rPr>
        <w:t>was correctly</w:t>
      </w:r>
      <w:r w:rsidR="00503A53">
        <w:rPr>
          <w:lang w:val="en-US" w:bidi="si-LK"/>
        </w:rPr>
        <w:t xml:space="preserve"> based on Article 7</w:t>
      </w:r>
      <w:r w:rsidR="002856EE">
        <w:rPr>
          <w:lang w:val="en-US" w:bidi="si-LK"/>
        </w:rPr>
        <w:t>(2) of Regulation 1215/2012 (</w:t>
      </w:r>
      <w:r w:rsidR="0081035F">
        <w:rPr>
          <w:lang w:val="en-US" w:bidi="si-LK"/>
        </w:rPr>
        <w:t>place of the harmful event)</w:t>
      </w:r>
      <w:r w:rsidR="00037F18">
        <w:rPr>
          <w:lang w:val="en-US" w:bidi="si-LK"/>
        </w:rPr>
        <w:t xml:space="preserve"> –</w:t>
      </w:r>
      <w:r w:rsidR="009533C4">
        <w:rPr>
          <w:lang w:val="en-US" w:bidi="si-LK"/>
        </w:rPr>
        <w:t xml:space="preserve"> but </w:t>
      </w:r>
      <w:r w:rsidR="00037F18">
        <w:rPr>
          <w:lang w:val="en-US" w:bidi="si-LK"/>
        </w:rPr>
        <w:t xml:space="preserve">can the UPC also decide on infringing activities </w:t>
      </w:r>
      <w:r w:rsidR="004B2D00">
        <w:rPr>
          <w:lang w:val="en-US" w:bidi="si-LK"/>
        </w:rPr>
        <w:t>outside of the contracting member states</w:t>
      </w:r>
      <w:r w:rsidR="00037F18">
        <w:rPr>
          <w:lang w:val="en-US" w:bidi="si-LK"/>
        </w:rPr>
        <w:t>?</w:t>
      </w:r>
    </w:p>
    <w:p w14:paraId="4FCFAFC3" w14:textId="2220DE85" w:rsidR="00C241BE" w:rsidRDefault="00C241BE" w:rsidP="00E76CD0">
      <w:pPr>
        <w:pStyle w:val="bStandard20"/>
        <w:spacing w:before="120" w:after="240"/>
        <w:rPr>
          <w:lang w:val="en-US" w:bidi="si-LK"/>
        </w:rPr>
      </w:pPr>
      <w:r w:rsidRPr="00C241BE">
        <w:rPr>
          <w:lang w:val="en-US" w:bidi="si-LK"/>
        </w:rPr>
        <w:t xml:space="preserve">Article 8(1) </w:t>
      </w:r>
      <w:r>
        <w:rPr>
          <w:lang w:val="en-US" w:bidi="si-LK"/>
        </w:rPr>
        <w:t xml:space="preserve">and the second sentence of </w:t>
      </w:r>
      <w:r w:rsidRPr="00C241BE">
        <w:rPr>
          <w:lang w:val="en-US" w:bidi="si-LK"/>
        </w:rPr>
        <w:t>Article 71b(2)</w:t>
      </w:r>
      <w:r>
        <w:rPr>
          <w:lang w:val="en-US" w:bidi="si-LK"/>
        </w:rPr>
        <w:t xml:space="preserve"> </w:t>
      </w:r>
      <w:r w:rsidRPr="00C241BE">
        <w:rPr>
          <w:lang w:val="en-US" w:bidi="si-LK"/>
        </w:rPr>
        <w:t>of Regulation 1215/2012</w:t>
      </w:r>
      <w:r>
        <w:rPr>
          <w:lang w:val="en-US" w:bidi="si-LK"/>
        </w:rPr>
        <w:t xml:space="preserve"> </w:t>
      </w:r>
      <w:r w:rsidR="004E67A4">
        <w:rPr>
          <w:lang w:val="en-US" w:bidi="si-LK"/>
        </w:rPr>
        <w:t xml:space="preserve">– </w:t>
      </w:r>
      <w:r w:rsidR="00335823">
        <w:rPr>
          <w:lang w:val="en-US" w:bidi="si-LK"/>
        </w:rPr>
        <w:t>the latter being</w:t>
      </w:r>
      <w:r w:rsidR="004E67A4">
        <w:rPr>
          <w:lang w:val="en-US" w:bidi="si-LK"/>
        </w:rPr>
        <w:t xml:space="preserve"> only applicable to the UPC but not </w:t>
      </w:r>
      <w:r w:rsidR="00335823">
        <w:rPr>
          <w:lang w:val="en-US" w:bidi="si-LK"/>
        </w:rPr>
        <w:t>to</w:t>
      </w:r>
      <w:r w:rsidR="004E67A4">
        <w:rPr>
          <w:lang w:val="en-US" w:bidi="si-LK"/>
        </w:rPr>
        <w:t xml:space="preserve"> national Courts</w:t>
      </w:r>
      <w:r w:rsidR="009E7E99">
        <w:rPr>
          <w:lang w:val="en-US" w:bidi="si-LK"/>
        </w:rPr>
        <w:t xml:space="preserve"> </w:t>
      </w:r>
      <w:r w:rsidR="004E67A4">
        <w:rPr>
          <w:lang w:val="en-US" w:bidi="si-LK"/>
        </w:rPr>
        <w:t xml:space="preserve">– </w:t>
      </w:r>
      <w:r>
        <w:rPr>
          <w:lang w:val="en-US" w:bidi="si-LK"/>
        </w:rPr>
        <w:t xml:space="preserve">provide for </w:t>
      </w:r>
      <w:r w:rsidR="00735934">
        <w:rPr>
          <w:lang w:val="en-US" w:bidi="si-LK"/>
        </w:rPr>
        <w:t xml:space="preserve">the possibility of extending </w:t>
      </w:r>
      <w:r w:rsidR="00903EE9">
        <w:rPr>
          <w:lang w:val="en-US" w:bidi="si-LK"/>
        </w:rPr>
        <w:t xml:space="preserve">international jurisdiction </w:t>
      </w:r>
      <w:r w:rsidR="00965441">
        <w:rPr>
          <w:lang w:val="en-US" w:bidi="si-LK"/>
        </w:rPr>
        <w:t xml:space="preserve">outside of the </w:t>
      </w:r>
      <w:r w:rsidR="00903EE9">
        <w:rPr>
          <w:lang w:val="en-US" w:bidi="si-LK"/>
        </w:rPr>
        <w:t>Court’s</w:t>
      </w:r>
      <w:r w:rsidR="00965441">
        <w:rPr>
          <w:lang w:val="en-US" w:bidi="si-LK"/>
        </w:rPr>
        <w:t xml:space="preserve"> territory</w:t>
      </w:r>
      <w:r w:rsidR="005E355E">
        <w:rPr>
          <w:lang w:val="en-US" w:bidi="si-LK"/>
        </w:rPr>
        <w:t xml:space="preserve"> in cases </w:t>
      </w:r>
      <w:r w:rsidR="002B5C7A">
        <w:rPr>
          <w:lang w:val="en-US" w:bidi="si-LK"/>
        </w:rPr>
        <w:t xml:space="preserve">potentially </w:t>
      </w:r>
      <w:r w:rsidR="005E355E">
        <w:rPr>
          <w:lang w:val="en-US" w:bidi="si-LK"/>
        </w:rPr>
        <w:t xml:space="preserve">involving </w:t>
      </w:r>
      <w:r w:rsidR="002B5C7A">
        <w:rPr>
          <w:lang w:val="en-US" w:bidi="si-LK"/>
        </w:rPr>
        <w:t>an anchor defendant</w:t>
      </w:r>
      <w:r w:rsidR="006E25E1">
        <w:rPr>
          <w:lang w:val="en-US" w:bidi="si-LK"/>
        </w:rPr>
        <w:t xml:space="preserve">, which </w:t>
      </w:r>
      <w:r w:rsidR="002B5C7A">
        <w:rPr>
          <w:lang w:val="en-US" w:bidi="si-LK"/>
        </w:rPr>
        <w:t>can be</w:t>
      </w:r>
      <w:r w:rsidR="00CB05F8">
        <w:rPr>
          <w:lang w:val="en-US" w:bidi="si-LK"/>
        </w:rPr>
        <w:t xml:space="preserve"> interesting in particular for markets like the United Kingdom or Spain.</w:t>
      </w:r>
      <w:r w:rsidR="006E5B7E">
        <w:rPr>
          <w:lang w:val="en-US" w:bidi="si-LK"/>
        </w:rPr>
        <w:t xml:space="preserve"> Furthermore, </w:t>
      </w:r>
      <w:r w:rsidR="00990CC4">
        <w:rPr>
          <w:lang w:val="en-US" w:bidi="si-LK"/>
        </w:rPr>
        <w:t xml:space="preserve">the CJEU’s answers could also be relevant to </w:t>
      </w:r>
      <w:r w:rsidR="00B37972">
        <w:rPr>
          <w:lang w:val="en-US" w:bidi="si-LK"/>
        </w:rPr>
        <w:t xml:space="preserve">the interpretation of </w:t>
      </w:r>
      <w:r w:rsidR="00990CC4">
        <w:rPr>
          <w:lang w:val="en-US" w:bidi="si-LK"/>
        </w:rPr>
        <w:t xml:space="preserve">Article </w:t>
      </w:r>
      <w:r w:rsidR="00B37972">
        <w:rPr>
          <w:lang w:val="en-US" w:bidi="si-LK"/>
        </w:rPr>
        <w:t>33(1)(b) UPCA</w:t>
      </w:r>
      <w:r w:rsidR="00927204">
        <w:rPr>
          <w:lang w:val="en-US" w:bidi="si-LK"/>
        </w:rPr>
        <w:t xml:space="preserve"> regarding the competence of the UPC’s </w:t>
      </w:r>
      <w:r w:rsidR="00857DE9">
        <w:rPr>
          <w:lang w:val="en-US" w:bidi="si-LK"/>
        </w:rPr>
        <w:t>local division</w:t>
      </w:r>
      <w:r w:rsidR="00966B4B">
        <w:rPr>
          <w:lang w:val="en-US" w:bidi="si-LK"/>
        </w:rPr>
        <w:t xml:space="preserve"> </w:t>
      </w:r>
      <w:r w:rsidR="00857DE9">
        <w:rPr>
          <w:lang w:val="en-US" w:bidi="si-LK"/>
        </w:rPr>
        <w:t xml:space="preserve">at the place of the </w:t>
      </w:r>
      <w:r w:rsidR="00857DE9" w:rsidRPr="00857DE9">
        <w:rPr>
          <w:i/>
          <w:iCs/>
          <w:lang w:val="en-US" w:bidi="si-LK"/>
        </w:rPr>
        <w:t>“anchor defendant”</w:t>
      </w:r>
      <w:r w:rsidR="00966B4B" w:rsidRPr="00966B4B">
        <w:rPr>
          <w:lang w:val="en-US" w:bidi="si-LK"/>
        </w:rPr>
        <w:t xml:space="preserve"> </w:t>
      </w:r>
      <w:r w:rsidR="00966B4B">
        <w:rPr>
          <w:lang w:val="en-US" w:bidi="si-LK"/>
        </w:rPr>
        <w:t xml:space="preserve">in case of multiple defendants (although </w:t>
      </w:r>
      <w:r w:rsidR="00011EC4">
        <w:rPr>
          <w:lang w:val="en-US" w:bidi="si-LK"/>
        </w:rPr>
        <w:t xml:space="preserve">this article does not require </w:t>
      </w:r>
      <w:r w:rsidR="00011EC4" w:rsidRPr="003A6729">
        <w:rPr>
          <w:i/>
          <w:iCs/>
          <w:lang w:val="en-US" w:bidi="si-LK"/>
        </w:rPr>
        <w:t>“irreconcilable judgments”</w:t>
      </w:r>
      <w:r w:rsidR="00011EC4">
        <w:rPr>
          <w:lang w:val="en-US" w:bidi="si-LK"/>
        </w:rPr>
        <w:t xml:space="preserve"> but </w:t>
      </w:r>
      <w:r w:rsidR="003A6729">
        <w:rPr>
          <w:lang w:val="en-US" w:bidi="si-LK"/>
        </w:rPr>
        <w:t xml:space="preserve">instead </w:t>
      </w:r>
      <w:r w:rsidR="00011EC4" w:rsidRPr="003A6729">
        <w:rPr>
          <w:i/>
          <w:iCs/>
          <w:lang w:val="en-US" w:bidi="si-LK"/>
        </w:rPr>
        <w:t>“a commercial relationship</w:t>
      </w:r>
      <w:r w:rsidR="003A6729" w:rsidRPr="003A6729">
        <w:rPr>
          <w:i/>
          <w:iCs/>
          <w:lang w:val="en-US" w:bidi="si-LK"/>
        </w:rPr>
        <w:t xml:space="preserve">” </w:t>
      </w:r>
      <w:r w:rsidR="003A6729">
        <w:rPr>
          <w:lang w:val="en-US" w:bidi="si-LK"/>
        </w:rPr>
        <w:t>between the defendants)</w:t>
      </w:r>
      <w:r w:rsidR="00966B4B">
        <w:rPr>
          <w:lang w:val="en-US" w:bidi="si-LK"/>
        </w:rPr>
        <w:t>.</w:t>
      </w:r>
    </w:p>
    <w:p w14:paraId="20463BEE" w14:textId="7EA51B21" w:rsidR="00D66FE1" w:rsidRDefault="00D66FE1" w:rsidP="00E76CD0">
      <w:pPr>
        <w:pStyle w:val="bStandard20"/>
        <w:spacing w:before="120" w:after="240"/>
        <w:rPr>
          <w:lang w:val="en-US" w:bidi="si-LK"/>
        </w:rPr>
      </w:pPr>
      <w:r>
        <w:rPr>
          <w:lang w:val="en-US" w:bidi="si-LK"/>
        </w:rPr>
        <w:t>Last but not least,</w:t>
      </w:r>
      <w:r w:rsidR="00BB4277">
        <w:rPr>
          <w:lang w:val="en-US" w:bidi="si-LK"/>
        </w:rPr>
        <w:t xml:space="preserve"> it should </w:t>
      </w:r>
      <w:r w:rsidR="003157EF">
        <w:rPr>
          <w:lang w:val="en-US" w:bidi="si-LK"/>
        </w:rPr>
        <w:t xml:space="preserve">be </w:t>
      </w:r>
      <w:r w:rsidR="003F0166">
        <w:rPr>
          <w:lang w:val="en-US" w:bidi="si-LK"/>
        </w:rPr>
        <w:t>noted</w:t>
      </w:r>
      <w:r w:rsidR="00BB4277">
        <w:rPr>
          <w:lang w:val="en-US" w:bidi="si-LK"/>
        </w:rPr>
        <w:t xml:space="preserve"> </w:t>
      </w:r>
      <w:r w:rsidR="002B5C7A">
        <w:rPr>
          <w:lang w:val="en-US" w:bidi="si-LK"/>
        </w:rPr>
        <w:t>that</w:t>
      </w:r>
      <w:r>
        <w:rPr>
          <w:lang w:val="en-US" w:bidi="si-LK"/>
        </w:rPr>
        <w:t xml:space="preserve"> </w:t>
      </w:r>
      <w:r w:rsidR="00293E6E">
        <w:rPr>
          <w:lang w:val="en-US" w:bidi="si-LK"/>
        </w:rPr>
        <w:t xml:space="preserve">the </w:t>
      </w:r>
      <w:r w:rsidR="00FB5D1D">
        <w:rPr>
          <w:lang w:val="en-US" w:bidi="si-LK"/>
        </w:rPr>
        <w:t>CoA</w:t>
      </w:r>
      <w:r w:rsidR="008534C5">
        <w:rPr>
          <w:lang w:val="en-US" w:bidi="si-LK"/>
        </w:rPr>
        <w:t xml:space="preserve"> only stayed </w:t>
      </w:r>
      <w:r w:rsidR="00FB5D1D">
        <w:rPr>
          <w:lang w:val="en-US" w:bidi="si-LK"/>
        </w:rPr>
        <w:t xml:space="preserve">the </w:t>
      </w:r>
      <w:r w:rsidR="003F0166">
        <w:rPr>
          <w:lang w:val="en-US" w:bidi="si-LK"/>
        </w:rPr>
        <w:t>parts of the case</w:t>
      </w:r>
      <w:r w:rsidR="003157EF">
        <w:rPr>
          <w:lang w:val="en-US" w:bidi="si-LK"/>
        </w:rPr>
        <w:t xml:space="preserve"> which are directly affected by the referred questions and issued </w:t>
      </w:r>
      <w:r w:rsidR="002A1275">
        <w:rPr>
          <w:lang w:val="en-US" w:bidi="si-LK"/>
        </w:rPr>
        <w:t xml:space="preserve">an injunction regarding all other parts, which is a good example of </w:t>
      </w:r>
      <w:r w:rsidR="005A1D00">
        <w:rPr>
          <w:lang w:val="en-US" w:bidi="si-LK"/>
        </w:rPr>
        <w:t xml:space="preserve">the procedural efficiency </w:t>
      </w:r>
      <w:r w:rsidR="00E814CA">
        <w:rPr>
          <w:lang w:val="en-US" w:bidi="si-LK"/>
        </w:rPr>
        <w:t>reflected in</w:t>
      </w:r>
      <w:r w:rsidR="005A1D00">
        <w:rPr>
          <w:lang w:val="en-US" w:bidi="si-LK"/>
        </w:rPr>
        <w:t xml:space="preserve"> the UPC </w:t>
      </w:r>
      <w:r w:rsidR="00E814CA">
        <w:rPr>
          <w:lang w:val="en-US" w:bidi="si-LK"/>
        </w:rPr>
        <w:t>case law.</w:t>
      </w:r>
    </w:p>
    <w:p w14:paraId="26E11AC8" w14:textId="73BBF92F" w:rsidR="00B72E02" w:rsidRPr="00E21B54" w:rsidRDefault="00B72E02" w:rsidP="008B5935">
      <w:pPr>
        <w:pStyle w:val="bStandard20"/>
        <w:rPr>
          <w:lang w:val="en-US" w:bidi="si-LK"/>
        </w:rPr>
      </w:pPr>
    </w:p>
    <w:sectPr w:rsidR="00B72E02" w:rsidRPr="00E21B54" w:rsidSect="00FC20D5">
      <w:headerReference w:type="default" r:id="rId7"/>
      <w:headerReference w:type="first" r:id="rId8"/>
      <w:pgSz w:w="11906" w:h="16838" w:code="9"/>
      <w:pgMar w:top="1191" w:right="2552" w:bottom="1134" w:left="1418" w:header="720" w:footer="720" w:gutter="0"/>
      <w:paperSrc w:first="257"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1F4441" w14:textId="77777777" w:rsidR="006E1DB7" w:rsidRDefault="006E1DB7">
      <w:r>
        <w:separator/>
      </w:r>
    </w:p>
  </w:endnote>
  <w:endnote w:type="continuationSeparator" w:id="0">
    <w:p w14:paraId="6296782C" w14:textId="77777777" w:rsidR="006E1DB7" w:rsidRDefault="006E1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78105A" w14:textId="77777777" w:rsidR="006E1DB7" w:rsidRDefault="006E1DB7">
      <w:r>
        <w:separator/>
      </w:r>
    </w:p>
  </w:footnote>
  <w:footnote w:type="continuationSeparator" w:id="0">
    <w:p w14:paraId="48A811A8" w14:textId="77777777" w:rsidR="006E1DB7" w:rsidRDefault="006E1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E74F8" w14:textId="77777777" w:rsidR="005702EA" w:rsidRPr="003E7717" w:rsidRDefault="001A2455" w:rsidP="0078140F">
    <w:pPr>
      <w:pStyle w:val="bMini10"/>
    </w:pPr>
    <w:r>
      <w:rPr>
        <w:noProof/>
        <w:szCs w:val="14"/>
      </w:rPr>
      <mc:AlternateContent>
        <mc:Choice Requires="wps">
          <w:drawing>
            <wp:anchor distT="0" distB="0" distL="114300" distR="114300" simplePos="0" relativeHeight="251653632" behindDoc="0" locked="0" layoutInCell="0" allowOverlap="1" wp14:anchorId="3F2A37EC" wp14:editId="51B01CD8">
              <wp:simplePos x="0" y="0"/>
              <wp:positionH relativeFrom="column">
                <wp:posOffset>5105400</wp:posOffset>
              </wp:positionH>
              <wp:positionV relativeFrom="paragraph">
                <wp:posOffset>9328785</wp:posOffset>
              </wp:positionV>
              <wp:extent cx="1447800" cy="342900"/>
              <wp:effectExtent l="0" t="0" r="0" b="0"/>
              <wp:wrapNone/>
              <wp:docPr id="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E55301" w14:textId="77777777" w:rsidR="005702EA" w:rsidRPr="00D57C3A" w:rsidRDefault="005702EA" w:rsidP="00983310">
                          <w:pPr>
                            <w:pStyle w:val="bMini10"/>
                          </w:pPr>
                          <w:r w:rsidRPr="00D57C3A">
                            <w:fldChar w:fldCharType="begin"/>
                          </w:r>
                          <w:r w:rsidRPr="00D57C3A">
                            <w:instrText xml:space="preserve"> PAGE </w:instrText>
                          </w:r>
                          <w:r w:rsidRPr="00D57C3A">
                            <w:fldChar w:fldCharType="separate"/>
                          </w:r>
                          <w:r>
                            <w:rPr>
                              <w:noProof/>
                            </w:rPr>
                            <w:t>2</w:t>
                          </w:r>
                          <w:r w:rsidRPr="00D57C3A">
                            <w:fldChar w:fldCharType="end"/>
                          </w:r>
                          <w:r w:rsidRPr="00D57C3A">
                            <w:t xml:space="preserve"> | </w:t>
                          </w:r>
                          <w:fldSimple w:instr=" NUMPAGES ">
                            <w:r w:rsidR="001A2455">
                              <w:rPr>
                                <w:noProof/>
                              </w:rPr>
                              <w:t>1</w:t>
                            </w:r>
                          </w:fldSimple>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A37EC" id="_x0000_t202" coordsize="21600,21600" o:spt="202" path="m,l,21600r21600,l21600,xe">
              <v:stroke joinstyle="miter"/>
              <v:path gradientshapeok="t" o:connecttype="rect"/>
            </v:shapetype>
            <v:shape id="Text Box 30" o:spid="_x0000_s1026" type="#_x0000_t202" style="position:absolute;margin-left:402pt;margin-top:734.55pt;width:114pt;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" o:allowincell="f" filled="f" stroked="f">
              <v:textbox>
                <w:txbxContent>
                  <w:p w14:paraId="4DE55301" w14:textId="77777777" w:rsidR="005702EA" w:rsidRPr="00D57C3A" w:rsidRDefault="005702EA" w:rsidP="00983310">
                    <w:pPr>
                      <w:pStyle w:val="bMini10"/>
                    </w:pPr>
                    <w:r w:rsidRPr="00D57C3A">
                      <w:fldChar w:fldCharType="begin"/>
                    </w:r>
                    <w:r w:rsidRPr="00D57C3A">
                      <w:instrText xml:space="preserve"> PAGE </w:instrText>
                    </w:r>
                    <w:r w:rsidRPr="00D57C3A">
                      <w:fldChar w:fldCharType="separate"/>
                    </w:r>
                    <w:r>
                      <w:rPr>
                        <w:noProof/>
                      </w:rPr>
                      <w:t>2</w:t>
                    </w:r>
                    <w:r w:rsidRPr="00D57C3A">
                      <w:fldChar w:fldCharType="end"/>
                    </w:r>
                    <w:r w:rsidRPr="00D57C3A">
                      <w:t xml:space="preserve"> | </w:t>
                    </w:r>
                    <w:fldSimple w:instr=" NUMPAGES ">
                      <w:r w:rsidR="001A2455">
                        <w:rPr>
                          <w:noProof/>
                        </w:rPr>
                        <w:t>1</w:t>
                      </w:r>
                    </w:fldSimple>
                  </w:p>
                </w:txbxContent>
              </v:textbox>
            </v:shape>
          </w:pict>
        </mc:Fallback>
      </mc:AlternateContent>
    </w:r>
    <w:r>
      <w:rPr>
        <w:noProof/>
      </w:rPr>
      <mc:AlternateContent>
        <mc:Choice Requires="wps">
          <w:drawing>
            <wp:anchor distT="0" distB="0" distL="114300" distR="114300" simplePos="0" relativeHeight="251655680" behindDoc="0" locked="0" layoutInCell="0" allowOverlap="1" wp14:anchorId="6C4F6894" wp14:editId="3D6BD500">
              <wp:simplePos x="0" y="0"/>
              <wp:positionH relativeFrom="column">
                <wp:posOffset>6539230</wp:posOffset>
              </wp:positionH>
              <wp:positionV relativeFrom="paragraph">
                <wp:posOffset>3551555</wp:posOffset>
              </wp:positionV>
              <wp:extent cx="172720" cy="5981700"/>
              <wp:effectExtent l="0" t="0" r="0" b="0"/>
              <wp:wrapNone/>
              <wp:docPr id="6"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5981700"/>
                      </a:xfrm>
                      <a:prstGeom prst="rect">
                        <a:avLst/>
                      </a:prstGeom>
                      <a:solidFill>
                        <a:srgbClr val="F7D4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8AF71A1" id="Rectangle 42" o:spid="_x0000_s1026" style="position:absolute;margin-left:514.9pt;margin-top:279.65pt;width:13.6pt;height:47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" o:allowincell="f" fillcolor="#f7d417" stroked="f"/>
          </w:pict>
        </mc:Fallback>
      </mc:AlternateContent>
    </w:r>
    <w:r>
      <w:rPr>
        <w:noProof/>
      </w:rPr>
      <mc:AlternateContent>
        <mc:Choice Requires="wps">
          <w:drawing>
            <wp:anchor distT="0" distB="0" distL="114300" distR="114300" simplePos="0" relativeHeight="251654656" behindDoc="0" locked="0" layoutInCell="0" allowOverlap="1" wp14:anchorId="6CD735BE" wp14:editId="1735A493">
              <wp:simplePos x="0" y="0"/>
              <wp:positionH relativeFrom="column">
                <wp:posOffset>6538595</wp:posOffset>
              </wp:positionH>
              <wp:positionV relativeFrom="paragraph">
                <wp:posOffset>238760</wp:posOffset>
              </wp:positionV>
              <wp:extent cx="228600" cy="3317240"/>
              <wp:effectExtent l="0" t="0" r="0" b="0"/>
              <wp:wrapNone/>
              <wp:docPr id="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317240"/>
                      </a:xfrm>
                      <a:prstGeom prst="rect">
                        <a:avLst/>
                      </a:prstGeom>
                      <a:solidFill>
                        <a:srgbClr val="A5A5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EE1DF55" id="Rectangle 41" o:spid="_x0000_s1026" style="position:absolute;margin-left:514.85pt;margin-top:18.8pt;width:18pt;height:26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" o:allowincell="f" fillcolor="#a5a591" stroked="f"/>
          </w:pict>
        </mc:Fallback>
      </mc:AlternateContent>
    </w:r>
  </w:p>
  <w:p w14:paraId="10EA20D1" w14:textId="77777777" w:rsidR="005702EA" w:rsidRPr="003E7717" w:rsidRDefault="005702EA" w:rsidP="0078140F">
    <w:pPr>
      <w:pStyle w:val="bMini10"/>
    </w:pPr>
  </w:p>
  <w:p w14:paraId="00F9B9C9" w14:textId="77777777" w:rsidR="005702EA" w:rsidRPr="003E7717" w:rsidRDefault="001A2455" w:rsidP="0078140F">
    <w:pPr>
      <w:pStyle w:val="bMini10"/>
    </w:pPr>
    <w:r>
      <w:rPr>
        <w:noProof/>
      </w:rPr>
      <w:drawing>
        <wp:anchor distT="0" distB="0" distL="114300" distR="114300" simplePos="0" relativeHeight="251656704" behindDoc="1" locked="0" layoutInCell="0" allowOverlap="1" wp14:anchorId="7FF75A43" wp14:editId="4F4ECBC1">
          <wp:simplePos x="0" y="0"/>
          <wp:positionH relativeFrom="column">
            <wp:posOffset>5098415</wp:posOffset>
          </wp:positionH>
          <wp:positionV relativeFrom="paragraph">
            <wp:posOffset>56515</wp:posOffset>
          </wp:positionV>
          <wp:extent cx="547370" cy="921385"/>
          <wp:effectExtent l="0" t="0" r="5080" b="0"/>
          <wp:wrapNone/>
          <wp:docPr id="43" name="Bild 4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Logo"/>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547370" cy="921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590EEB" w14:textId="77777777" w:rsidR="005702EA" w:rsidRPr="003E7717" w:rsidRDefault="005702EA" w:rsidP="0078140F">
    <w:pPr>
      <w:pStyle w:val="bMini10"/>
    </w:pPr>
  </w:p>
  <w:p w14:paraId="7E9DF801" w14:textId="77777777" w:rsidR="005702EA" w:rsidRDefault="005702EA" w:rsidP="0078140F">
    <w:pPr>
      <w:pStyle w:val="bMini10"/>
    </w:pPr>
  </w:p>
  <w:p w14:paraId="0D403145" w14:textId="77777777" w:rsidR="005702EA" w:rsidRDefault="005702EA" w:rsidP="0078140F">
    <w:pPr>
      <w:pStyle w:val="bMini10"/>
    </w:pPr>
  </w:p>
  <w:p w14:paraId="72AED956" w14:textId="77777777" w:rsidR="005702EA" w:rsidRDefault="005702EA" w:rsidP="0078140F">
    <w:pPr>
      <w:pStyle w:val="bMini10"/>
    </w:pPr>
  </w:p>
  <w:p w14:paraId="38D4BE11" w14:textId="77777777" w:rsidR="005702EA" w:rsidRDefault="005702EA" w:rsidP="0078140F">
    <w:pPr>
      <w:pStyle w:val="bMini10"/>
    </w:pPr>
  </w:p>
  <w:p w14:paraId="548C5589" w14:textId="77777777" w:rsidR="005702EA" w:rsidRDefault="005702EA" w:rsidP="0078140F">
    <w:pPr>
      <w:pStyle w:val="bMini10"/>
    </w:pPr>
  </w:p>
  <w:p w14:paraId="26BA4DED" w14:textId="77777777" w:rsidR="005702EA" w:rsidRDefault="005702EA" w:rsidP="0078140F">
    <w:pPr>
      <w:pStyle w:val="bMini10"/>
    </w:pPr>
  </w:p>
  <w:p w14:paraId="544C38D1" w14:textId="77777777" w:rsidR="005702EA" w:rsidRPr="003E7717" w:rsidRDefault="001A2455" w:rsidP="0078140F">
    <w:pPr>
      <w:pStyle w:val="bMini10"/>
    </w:pPr>
    <w:r>
      <w:rPr>
        <w:noProof/>
      </w:rPr>
      <mc:AlternateContent>
        <mc:Choice Requires="wps">
          <w:drawing>
            <wp:anchor distT="0" distB="0" distL="114300" distR="114300" simplePos="0" relativeHeight="251657728" behindDoc="0" locked="0" layoutInCell="0" allowOverlap="1" wp14:anchorId="1CEB7811" wp14:editId="1069EC8F">
              <wp:simplePos x="0" y="0"/>
              <wp:positionH relativeFrom="column">
                <wp:posOffset>5193665</wp:posOffset>
              </wp:positionH>
              <wp:positionV relativeFrom="paragraph">
                <wp:posOffset>243840</wp:posOffset>
              </wp:positionV>
              <wp:extent cx="1280160" cy="8157845"/>
              <wp:effectExtent l="0" t="0" r="0" b="0"/>
              <wp:wrapNone/>
              <wp:docPr id="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8157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5506A" w14:textId="77777777" w:rsidR="005702EA" w:rsidRDefault="005702EA" w:rsidP="00983310">
                          <w:pPr>
                            <w:pStyle w:val="bMini10"/>
                          </w:pPr>
                        </w:p>
                        <w:p w14:paraId="098AC336" w14:textId="77777777" w:rsidR="005702EA" w:rsidRPr="00D57C3A" w:rsidRDefault="005702EA" w:rsidP="00983310">
                          <w:pPr>
                            <w:pStyle w:val="bMini1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B7811" id="Text Box 44" o:spid="_x0000_s1027" type="#_x0000_t202" style="position:absolute;margin-left:408.95pt;margin-top:19.2pt;width:100.8pt;height:642.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" o:allowincell="f" filled="f" stroked="f">
              <v:textbox inset="0,0,0,0">
                <w:txbxContent>
                  <w:p w14:paraId="4325506A" w14:textId="77777777" w:rsidR="005702EA" w:rsidRDefault="005702EA" w:rsidP="00983310">
                    <w:pPr>
                      <w:pStyle w:val="bMini10"/>
                    </w:pPr>
                  </w:p>
                  <w:p w14:paraId="098AC336" w14:textId="77777777" w:rsidR="005702EA" w:rsidRPr="00D57C3A" w:rsidRDefault="005702EA" w:rsidP="00983310">
                    <w:pPr>
                      <w:pStyle w:val="bMini10"/>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4C798" w14:textId="045EC7EC" w:rsidR="005702EA" w:rsidRDefault="005702EA" w:rsidP="00983310">
    <w:pPr>
      <w:pStyle w:val="bMini10"/>
      <w:tabs>
        <w:tab w:val="left" w:pos="4950"/>
      </w:tabs>
    </w:pPr>
  </w:p>
  <w:p w14:paraId="5C69D401" w14:textId="18FF9FA5" w:rsidR="005702EA" w:rsidRDefault="001A2455" w:rsidP="00983310">
    <w:pPr>
      <w:pStyle w:val="bMini10"/>
      <w:tabs>
        <w:tab w:val="left" w:pos="4950"/>
      </w:tabs>
    </w:pPr>
    <w:r>
      <w:rPr>
        <w:noProof/>
      </w:rPr>
      <mc:AlternateContent>
        <mc:Choice Requires="wps">
          <w:drawing>
            <wp:anchor distT="0" distB="0" distL="114300" distR="114300" simplePos="0" relativeHeight="251659776" behindDoc="0" locked="0" layoutInCell="0" allowOverlap="1" wp14:anchorId="03895270" wp14:editId="462C46FD">
              <wp:simplePos x="0" y="0"/>
              <wp:positionH relativeFrom="column">
                <wp:posOffset>6532880</wp:posOffset>
              </wp:positionH>
              <wp:positionV relativeFrom="paragraph">
                <wp:posOffset>111760</wp:posOffset>
              </wp:positionV>
              <wp:extent cx="228600" cy="3317240"/>
              <wp:effectExtent l="0" t="0" r="0" b="0"/>
              <wp:wrapNone/>
              <wp:docPr id="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317240"/>
                      </a:xfrm>
                      <a:prstGeom prst="rect">
                        <a:avLst/>
                      </a:prstGeom>
                      <a:solidFill>
                        <a:srgbClr val="A5A5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3D520985" id="Rectangle 48" o:spid="_x0000_s1026" style="position:absolute;margin-left:514.4pt;margin-top:8.8pt;width:18pt;height:26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" o:allowincell="f" fillcolor="#a5a591" stroked="f"/>
          </w:pict>
        </mc:Fallback>
      </mc:AlternateContent>
    </w:r>
  </w:p>
  <w:p w14:paraId="62F716A2" w14:textId="1987F730" w:rsidR="005702EA" w:rsidRDefault="005702EA" w:rsidP="00983310">
    <w:pPr>
      <w:pStyle w:val="bMini10"/>
      <w:tabs>
        <w:tab w:val="left" w:pos="4950"/>
      </w:tabs>
    </w:pPr>
  </w:p>
  <w:p w14:paraId="3C2C30C0" w14:textId="5BF85958" w:rsidR="005702EA" w:rsidRDefault="005702EA" w:rsidP="00983310">
    <w:pPr>
      <w:pStyle w:val="bMini10"/>
      <w:tabs>
        <w:tab w:val="left" w:pos="4950"/>
      </w:tabs>
    </w:pPr>
  </w:p>
  <w:p w14:paraId="0656FECF" w14:textId="27936D4C" w:rsidR="005702EA" w:rsidRDefault="005702EA" w:rsidP="00983310">
    <w:pPr>
      <w:pStyle w:val="bMini10"/>
      <w:tabs>
        <w:tab w:val="left" w:pos="4950"/>
      </w:tabs>
    </w:pPr>
  </w:p>
  <w:p w14:paraId="527A027F" w14:textId="65459250" w:rsidR="005702EA" w:rsidRDefault="005702EA" w:rsidP="00983310">
    <w:pPr>
      <w:pStyle w:val="bMini10"/>
      <w:tabs>
        <w:tab w:val="left" w:pos="4950"/>
      </w:tabs>
    </w:pPr>
  </w:p>
  <w:p w14:paraId="2DBE9DED" w14:textId="569F59D3" w:rsidR="005702EA" w:rsidRDefault="005702EA" w:rsidP="00983310">
    <w:pPr>
      <w:pStyle w:val="bMini10"/>
      <w:tabs>
        <w:tab w:val="left" w:pos="4950"/>
      </w:tabs>
    </w:pPr>
  </w:p>
  <w:p w14:paraId="04BD5422" w14:textId="7F69215D" w:rsidR="005702EA" w:rsidRDefault="005702EA" w:rsidP="00983310">
    <w:pPr>
      <w:pStyle w:val="bMini10"/>
      <w:tabs>
        <w:tab w:val="left" w:pos="4950"/>
      </w:tabs>
    </w:pPr>
  </w:p>
  <w:p w14:paraId="6E515751" w14:textId="56A9803F" w:rsidR="005702EA" w:rsidRDefault="005702EA" w:rsidP="00983310">
    <w:pPr>
      <w:pStyle w:val="bMini10"/>
      <w:tabs>
        <w:tab w:val="left" w:pos="4950"/>
      </w:tabs>
    </w:pPr>
  </w:p>
  <w:p w14:paraId="418FBCC1" w14:textId="36C30301" w:rsidR="005702EA" w:rsidRDefault="005702EA" w:rsidP="00983310">
    <w:pPr>
      <w:pStyle w:val="bMini10"/>
      <w:tabs>
        <w:tab w:val="left" w:pos="4950"/>
      </w:tabs>
    </w:pPr>
  </w:p>
  <w:p w14:paraId="42491B8B" w14:textId="75609714" w:rsidR="005702EA" w:rsidRPr="00B813C5" w:rsidRDefault="001A2455" w:rsidP="00F56E54">
    <w:pPr>
      <w:pStyle w:val="bMini10"/>
      <w:tabs>
        <w:tab w:val="left" w:pos="4950"/>
      </w:tabs>
    </w:pPr>
    <w:r>
      <w:rPr>
        <w:noProof/>
      </w:rPr>
      <mc:AlternateContent>
        <mc:Choice Requires="wps">
          <w:drawing>
            <wp:anchor distT="0" distB="0" distL="114300" distR="114300" simplePos="0" relativeHeight="251660800" behindDoc="0" locked="0" layoutInCell="0" allowOverlap="1" wp14:anchorId="3CC0DCA7" wp14:editId="4DDDBE0C">
              <wp:simplePos x="0" y="0"/>
              <wp:positionH relativeFrom="column">
                <wp:posOffset>6533515</wp:posOffset>
              </wp:positionH>
              <wp:positionV relativeFrom="paragraph">
                <wp:posOffset>2281555</wp:posOffset>
              </wp:positionV>
              <wp:extent cx="172720" cy="5981700"/>
              <wp:effectExtent l="0" t="0" r="0" b="0"/>
              <wp:wrapNone/>
              <wp:docPr id="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5981700"/>
                      </a:xfrm>
                      <a:prstGeom prst="rect">
                        <a:avLst/>
                      </a:prstGeom>
                      <a:solidFill>
                        <a:srgbClr val="F7D4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5A5F4F83" id="Rectangle 49" o:spid="_x0000_s1026" style="position:absolute;margin-left:514.45pt;margin-top:179.65pt;width:13.6pt;height:47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" o:allowincell="f" fillcolor="#f7d417"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72C1DDA"/>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1C2F7EE0"/>
    <w:multiLevelType w:val="hybridMultilevel"/>
    <w:tmpl w:val="3E5016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E751735"/>
    <w:multiLevelType w:val="hybridMultilevel"/>
    <w:tmpl w:val="031E0B8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B80105F"/>
    <w:multiLevelType w:val="hybridMultilevel"/>
    <w:tmpl w:val="B4884F5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675179458">
    <w:abstractNumId w:val="1"/>
  </w:num>
  <w:num w:numId="2" w16cid:durableId="1571889708">
    <w:abstractNumId w:val="2"/>
  </w:num>
  <w:num w:numId="3" w16cid:durableId="1750805756">
    <w:abstractNumId w:val="3"/>
  </w:num>
  <w:num w:numId="4" w16cid:durableId="1580598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2050">
      <o:colormru v:ext="edit" colors="#b4b000,#919085,#f7d417,#b2b2b2,silver,#8f8a76,#a5a59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A1E"/>
    <w:rsid w:val="00003592"/>
    <w:rsid w:val="00003B97"/>
    <w:rsid w:val="00004914"/>
    <w:rsid w:val="00005775"/>
    <w:rsid w:val="000075C6"/>
    <w:rsid w:val="00007AA3"/>
    <w:rsid w:val="00007C88"/>
    <w:rsid w:val="00011EC4"/>
    <w:rsid w:val="00012296"/>
    <w:rsid w:val="0001249D"/>
    <w:rsid w:val="000127ED"/>
    <w:rsid w:val="000136E1"/>
    <w:rsid w:val="00014465"/>
    <w:rsid w:val="000161C0"/>
    <w:rsid w:val="00016685"/>
    <w:rsid w:val="00016BE8"/>
    <w:rsid w:val="00016C6E"/>
    <w:rsid w:val="00023396"/>
    <w:rsid w:val="00027832"/>
    <w:rsid w:val="00030E5D"/>
    <w:rsid w:val="0003220D"/>
    <w:rsid w:val="00032EB1"/>
    <w:rsid w:val="00033510"/>
    <w:rsid w:val="00035FF0"/>
    <w:rsid w:val="00037F18"/>
    <w:rsid w:val="000419BE"/>
    <w:rsid w:val="00041C9B"/>
    <w:rsid w:val="00044579"/>
    <w:rsid w:val="00046303"/>
    <w:rsid w:val="00046E98"/>
    <w:rsid w:val="000522F2"/>
    <w:rsid w:val="00052BE3"/>
    <w:rsid w:val="00052EAF"/>
    <w:rsid w:val="00054320"/>
    <w:rsid w:val="00054398"/>
    <w:rsid w:val="00054544"/>
    <w:rsid w:val="000602BD"/>
    <w:rsid w:val="0006161F"/>
    <w:rsid w:val="00062D69"/>
    <w:rsid w:val="00063DE3"/>
    <w:rsid w:val="00064058"/>
    <w:rsid w:val="00067082"/>
    <w:rsid w:val="00067935"/>
    <w:rsid w:val="00070968"/>
    <w:rsid w:val="000717D4"/>
    <w:rsid w:val="0007371F"/>
    <w:rsid w:val="00075BBA"/>
    <w:rsid w:val="0007649E"/>
    <w:rsid w:val="000765AF"/>
    <w:rsid w:val="00077406"/>
    <w:rsid w:val="00077FBB"/>
    <w:rsid w:val="00080E98"/>
    <w:rsid w:val="0008102C"/>
    <w:rsid w:val="0008277C"/>
    <w:rsid w:val="00082925"/>
    <w:rsid w:val="00082B8F"/>
    <w:rsid w:val="00084301"/>
    <w:rsid w:val="00084ADA"/>
    <w:rsid w:val="0008572E"/>
    <w:rsid w:val="000857A2"/>
    <w:rsid w:val="000857CE"/>
    <w:rsid w:val="0008624E"/>
    <w:rsid w:val="00091EB4"/>
    <w:rsid w:val="00092112"/>
    <w:rsid w:val="000947E2"/>
    <w:rsid w:val="00095B9D"/>
    <w:rsid w:val="0009731F"/>
    <w:rsid w:val="000A1631"/>
    <w:rsid w:val="000A1C8F"/>
    <w:rsid w:val="000A2F89"/>
    <w:rsid w:val="000A4C4E"/>
    <w:rsid w:val="000A5106"/>
    <w:rsid w:val="000A68B7"/>
    <w:rsid w:val="000B0D13"/>
    <w:rsid w:val="000B1EFC"/>
    <w:rsid w:val="000B1F11"/>
    <w:rsid w:val="000B44DF"/>
    <w:rsid w:val="000B46E6"/>
    <w:rsid w:val="000B5B30"/>
    <w:rsid w:val="000B69D7"/>
    <w:rsid w:val="000C029E"/>
    <w:rsid w:val="000C5D28"/>
    <w:rsid w:val="000C69AF"/>
    <w:rsid w:val="000C6A5D"/>
    <w:rsid w:val="000C6A89"/>
    <w:rsid w:val="000D20FD"/>
    <w:rsid w:val="000D57BC"/>
    <w:rsid w:val="000D68F0"/>
    <w:rsid w:val="000E0655"/>
    <w:rsid w:val="000E11D2"/>
    <w:rsid w:val="000E2588"/>
    <w:rsid w:val="000E3159"/>
    <w:rsid w:val="000E31C0"/>
    <w:rsid w:val="000E37FE"/>
    <w:rsid w:val="000E67DB"/>
    <w:rsid w:val="000F018F"/>
    <w:rsid w:val="000F02EE"/>
    <w:rsid w:val="000F10AB"/>
    <w:rsid w:val="000F416D"/>
    <w:rsid w:val="000F61A6"/>
    <w:rsid w:val="000F69FE"/>
    <w:rsid w:val="00100732"/>
    <w:rsid w:val="00100DDE"/>
    <w:rsid w:val="00100F49"/>
    <w:rsid w:val="001015C7"/>
    <w:rsid w:val="00101657"/>
    <w:rsid w:val="0010185D"/>
    <w:rsid w:val="001019C0"/>
    <w:rsid w:val="00102797"/>
    <w:rsid w:val="0010292D"/>
    <w:rsid w:val="00103522"/>
    <w:rsid w:val="00104D12"/>
    <w:rsid w:val="00106217"/>
    <w:rsid w:val="00107F19"/>
    <w:rsid w:val="00112600"/>
    <w:rsid w:val="001127AD"/>
    <w:rsid w:val="00114721"/>
    <w:rsid w:val="00114A85"/>
    <w:rsid w:val="00116DC3"/>
    <w:rsid w:val="0011786A"/>
    <w:rsid w:val="00117D01"/>
    <w:rsid w:val="00117DF6"/>
    <w:rsid w:val="0012007C"/>
    <w:rsid w:val="00120211"/>
    <w:rsid w:val="00120DFE"/>
    <w:rsid w:val="001213B8"/>
    <w:rsid w:val="00121776"/>
    <w:rsid w:val="00121E01"/>
    <w:rsid w:val="00124AC1"/>
    <w:rsid w:val="00124B5F"/>
    <w:rsid w:val="00124F42"/>
    <w:rsid w:val="0012576C"/>
    <w:rsid w:val="00127C8B"/>
    <w:rsid w:val="001351BB"/>
    <w:rsid w:val="0013566B"/>
    <w:rsid w:val="00137439"/>
    <w:rsid w:val="001374DF"/>
    <w:rsid w:val="00140F1B"/>
    <w:rsid w:val="00143634"/>
    <w:rsid w:val="001438E0"/>
    <w:rsid w:val="0015137B"/>
    <w:rsid w:val="00152E3B"/>
    <w:rsid w:val="00153C17"/>
    <w:rsid w:val="00153E50"/>
    <w:rsid w:val="0016114C"/>
    <w:rsid w:val="00161F0E"/>
    <w:rsid w:val="001624EB"/>
    <w:rsid w:val="00162C43"/>
    <w:rsid w:val="00164BCE"/>
    <w:rsid w:val="00167D85"/>
    <w:rsid w:val="00172B21"/>
    <w:rsid w:val="0017533F"/>
    <w:rsid w:val="001753D0"/>
    <w:rsid w:val="00177336"/>
    <w:rsid w:val="00182295"/>
    <w:rsid w:val="00182CBD"/>
    <w:rsid w:val="00183994"/>
    <w:rsid w:val="00186C41"/>
    <w:rsid w:val="00187310"/>
    <w:rsid w:val="00187586"/>
    <w:rsid w:val="00187AEC"/>
    <w:rsid w:val="001906D1"/>
    <w:rsid w:val="001936DB"/>
    <w:rsid w:val="00193BBB"/>
    <w:rsid w:val="001940BD"/>
    <w:rsid w:val="001943F4"/>
    <w:rsid w:val="00195C86"/>
    <w:rsid w:val="00197123"/>
    <w:rsid w:val="001A03E8"/>
    <w:rsid w:val="001A07C7"/>
    <w:rsid w:val="001A2455"/>
    <w:rsid w:val="001A2588"/>
    <w:rsid w:val="001A3103"/>
    <w:rsid w:val="001A6B29"/>
    <w:rsid w:val="001B22ED"/>
    <w:rsid w:val="001B273F"/>
    <w:rsid w:val="001B4319"/>
    <w:rsid w:val="001B4609"/>
    <w:rsid w:val="001B588F"/>
    <w:rsid w:val="001B5D68"/>
    <w:rsid w:val="001B662F"/>
    <w:rsid w:val="001C1706"/>
    <w:rsid w:val="001C3628"/>
    <w:rsid w:val="001C4419"/>
    <w:rsid w:val="001C4B6B"/>
    <w:rsid w:val="001D0684"/>
    <w:rsid w:val="001D0E65"/>
    <w:rsid w:val="001D572C"/>
    <w:rsid w:val="001E249A"/>
    <w:rsid w:val="001E5D68"/>
    <w:rsid w:val="001E64D1"/>
    <w:rsid w:val="001E7768"/>
    <w:rsid w:val="001F0473"/>
    <w:rsid w:val="001F201F"/>
    <w:rsid w:val="001F2950"/>
    <w:rsid w:val="001F4EC1"/>
    <w:rsid w:val="001F4F4D"/>
    <w:rsid w:val="001F5207"/>
    <w:rsid w:val="001F6CDD"/>
    <w:rsid w:val="001F6DF6"/>
    <w:rsid w:val="001F731D"/>
    <w:rsid w:val="002041EC"/>
    <w:rsid w:val="002058F0"/>
    <w:rsid w:val="0020658D"/>
    <w:rsid w:val="00211132"/>
    <w:rsid w:val="00211A3B"/>
    <w:rsid w:val="00211B6C"/>
    <w:rsid w:val="0021372F"/>
    <w:rsid w:val="0021438E"/>
    <w:rsid w:val="00215778"/>
    <w:rsid w:val="00216B68"/>
    <w:rsid w:val="00216BEF"/>
    <w:rsid w:val="00221645"/>
    <w:rsid w:val="00226629"/>
    <w:rsid w:val="0023019C"/>
    <w:rsid w:val="00230AC8"/>
    <w:rsid w:val="002315D2"/>
    <w:rsid w:val="00233BF9"/>
    <w:rsid w:val="002344F0"/>
    <w:rsid w:val="002349E6"/>
    <w:rsid w:val="00235573"/>
    <w:rsid w:val="002359B2"/>
    <w:rsid w:val="00242E89"/>
    <w:rsid w:val="00243920"/>
    <w:rsid w:val="002453E5"/>
    <w:rsid w:val="002504FE"/>
    <w:rsid w:val="00253C77"/>
    <w:rsid w:val="002567FE"/>
    <w:rsid w:val="002614CC"/>
    <w:rsid w:val="002627FE"/>
    <w:rsid w:val="00262A7E"/>
    <w:rsid w:val="0026502A"/>
    <w:rsid w:val="0026520B"/>
    <w:rsid w:val="00265891"/>
    <w:rsid w:val="00266FA0"/>
    <w:rsid w:val="00272325"/>
    <w:rsid w:val="002724E7"/>
    <w:rsid w:val="00274912"/>
    <w:rsid w:val="002749A9"/>
    <w:rsid w:val="002837B8"/>
    <w:rsid w:val="00283FC4"/>
    <w:rsid w:val="002856EE"/>
    <w:rsid w:val="002859A1"/>
    <w:rsid w:val="00285B1A"/>
    <w:rsid w:val="0028765D"/>
    <w:rsid w:val="00287A29"/>
    <w:rsid w:val="00290331"/>
    <w:rsid w:val="00292831"/>
    <w:rsid w:val="00292D47"/>
    <w:rsid w:val="00293E6E"/>
    <w:rsid w:val="002A10B6"/>
    <w:rsid w:val="002A1275"/>
    <w:rsid w:val="002A57BE"/>
    <w:rsid w:val="002A5C9B"/>
    <w:rsid w:val="002B1040"/>
    <w:rsid w:val="002B16C9"/>
    <w:rsid w:val="002B1F8E"/>
    <w:rsid w:val="002B2AC9"/>
    <w:rsid w:val="002B3933"/>
    <w:rsid w:val="002B5C7A"/>
    <w:rsid w:val="002B6FF1"/>
    <w:rsid w:val="002C0FB4"/>
    <w:rsid w:val="002C146B"/>
    <w:rsid w:val="002C19BF"/>
    <w:rsid w:val="002C212C"/>
    <w:rsid w:val="002C305A"/>
    <w:rsid w:val="002C360E"/>
    <w:rsid w:val="002C3B72"/>
    <w:rsid w:val="002C3ED8"/>
    <w:rsid w:val="002C441E"/>
    <w:rsid w:val="002C5144"/>
    <w:rsid w:val="002C5500"/>
    <w:rsid w:val="002D1EC9"/>
    <w:rsid w:val="002D37C7"/>
    <w:rsid w:val="002D3E40"/>
    <w:rsid w:val="002D48D0"/>
    <w:rsid w:val="002D544E"/>
    <w:rsid w:val="002D643E"/>
    <w:rsid w:val="002D7205"/>
    <w:rsid w:val="002D7C76"/>
    <w:rsid w:val="002E172D"/>
    <w:rsid w:val="002E21A9"/>
    <w:rsid w:val="002E245D"/>
    <w:rsid w:val="002E262A"/>
    <w:rsid w:val="002E2DEA"/>
    <w:rsid w:val="002E4C13"/>
    <w:rsid w:val="002E5731"/>
    <w:rsid w:val="002E5A44"/>
    <w:rsid w:val="002E6FAC"/>
    <w:rsid w:val="002F3D91"/>
    <w:rsid w:val="002F48C2"/>
    <w:rsid w:val="002F5F57"/>
    <w:rsid w:val="002F60B8"/>
    <w:rsid w:val="002F6458"/>
    <w:rsid w:val="002F7E41"/>
    <w:rsid w:val="0030003C"/>
    <w:rsid w:val="00301D05"/>
    <w:rsid w:val="00303311"/>
    <w:rsid w:val="00305185"/>
    <w:rsid w:val="003064CC"/>
    <w:rsid w:val="003102D6"/>
    <w:rsid w:val="0031193B"/>
    <w:rsid w:val="00311AF8"/>
    <w:rsid w:val="0031332A"/>
    <w:rsid w:val="003135DE"/>
    <w:rsid w:val="00313938"/>
    <w:rsid w:val="00315070"/>
    <w:rsid w:val="003157EF"/>
    <w:rsid w:val="0031724B"/>
    <w:rsid w:val="00320896"/>
    <w:rsid w:val="0032158E"/>
    <w:rsid w:val="00322039"/>
    <w:rsid w:val="00322EEC"/>
    <w:rsid w:val="00322FE0"/>
    <w:rsid w:val="00325910"/>
    <w:rsid w:val="00326153"/>
    <w:rsid w:val="00331C7C"/>
    <w:rsid w:val="0033304F"/>
    <w:rsid w:val="00334F37"/>
    <w:rsid w:val="00334F3A"/>
    <w:rsid w:val="00335823"/>
    <w:rsid w:val="0033703F"/>
    <w:rsid w:val="00337765"/>
    <w:rsid w:val="00342E01"/>
    <w:rsid w:val="00343AB1"/>
    <w:rsid w:val="00345762"/>
    <w:rsid w:val="00346B6D"/>
    <w:rsid w:val="00346FA3"/>
    <w:rsid w:val="00347A06"/>
    <w:rsid w:val="00352B8F"/>
    <w:rsid w:val="00354CC4"/>
    <w:rsid w:val="00356A15"/>
    <w:rsid w:val="00356C71"/>
    <w:rsid w:val="00357184"/>
    <w:rsid w:val="0036157E"/>
    <w:rsid w:val="003629A7"/>
    <w:rsid w:val="00365FFA"/>
    <w:rsid w:val="00370ECB"/>
    <w:rsid w:val="00372D79"/>
    <w:rsid w:val="00373A4D"/>
    <w:rsid w:val="00375BF0"/>
    <w:rsid w:val="00375CAD"/>
    <w:rsid w:val="00380AE5"/>
    <w:rsid w:val="00383586"/>
    <w:rsid w:val="00383723"/>
    <w:rsid w:val="00384886"/>
    <w:rsid w:val="00384A31"/>
    <w:rsid w:val="00385EF9"/>
    <w:rsid w:val="00386E30"/>
    <w:rsid w:val="003877BC"/>
    <w:rsid w:val="003877BF"/>
    <w:rsid w:val="0039219A"/>
    <w:rsid w:val="003923DA"/>
    <w:rsid w:val="00393B2F"/>
    <w:rsid w:val="00393D53"/>
    <w:rsid w:val="00395B02"/>
    <w:rsid w:val="00396049"/>
    <w:rsid w:val="003A1219"/>
    <w:rsid w:val="003A2B6E"/>
    <w:rsid w:val="003A31CF"/>
    <w:rsid w:val="003A410B"/>
    <w:rsid w:val="003A4281"/>
    <w:rsid w:val="003A465E"/>
    <w:rsid w:val="003A4D67"/>
    <w:rsid w:val="003A5D71"/>
    <w:rsid w:val="003A65B5"/>
    <w:rsid w:val="003A6729"/>
    <w:rsid w:val="003A6F0D"/>
    <w:rsid w:val="003B06D8"/>
    <w:rsid w:val="003B28E9"/>
    <w:rsid w:val="003B3032"/>
    <w:rsid w:val="003B55BE"/>
    <w:rsid w:val="003B7317"/>
    <w:rsid w:val="003C41EA"/>
    <w:rsid w:val="003C438A"/>
    <w:rsid w:val="003C4ABD"/>
    <w:rsid w:val="003C4DF4"/>
    <w:rsid w:val="003C62DB"/>
    <w:rsid w:val="003C71AE"/>
    <w:rsid w:val="003D0A7F"/>
    <w:rsid w:val="003D5208"/>
    <w:rsid w:val="003D56C9"/>
    <w:rsid w:val="003D6904"/>
    <w:rsid w:val="003D7424"/>
    <w:rsid w:val="003D7D14"/>
    <w:rsid w:val="003D7F72"/>
    <w:rsid w:val="003E03FA"/>
    <w:rsid w:val="003E2C70"/>
    <w:rsid w:val="003E508D"/>
    <w:rsid w:val="003E53F3"/>
    <w:rsid w:val="003E7717"/>
    <w:rsid w:val="003E7AF5"/>
    <w:rsid w:val="003F0166"/>
    <w:rsid w:val="003F0AC7"/>
    <w:rsid w:val="003F41C9"/>
    <w:rsid w:val="003F4B83"/>
    <w:rsid w:val="003F5F9A"/>
    <w:rsid w:val="003F600F"/>
    <w:rsid w:val="003F62CA"/>
    <w:rsid w:val="003F7976"/>
    <w:rsid w:val="00401C09"/>
    <w:rsid w:val="00403DD2"/>
    <w:rsid w:val="0040583C"/>
    <w:rsid w:val="00405C4E"/>
    <w:rsid w:val="00405F90"/>
    <w:rsid w:val="004060F2"/>
    <w:rsid w:val="004068BB"/>
    <w:rsid w:val="00407BCC"/>
    <w:rsid w:val="00410259"/>
    <w:rsid w:val="00410DC9"/>
    <w:rsid w:val="004110CB"/>
    <w:rsid w:val="00411F90"/>
    <w:rsid w:val="004125F9"/>
    <w:rsid w:val="00413470"/>
    <w:rsid w:val="00414A66"/>
    <w:rsid w:val="00414E29"/>
    <w:rsid w:val="004150BD"/>
    <w:rsid w:val="00417B1D"/>
    <w:rsid w:val="004205A9"/>
    <w:rsid w:val="0042060D"/>
    <w:rsid w:val="00422C07"/>
    <w:rsid w:val="00422CE5"/>
    <w:rsid w:val="00424CCA"/>
    <w:rsid w:val="0042596C"/>
    <w:rsid w:val="0042605A"/>
    <w:rsid w:val="004268BF"/>
    <w:rsid w:val="00432B5D"/>
    <w:rsid w:val="004337A5"/>
    <w:rsid w:val="004401C5"/>
    <w:rsid w:val="00441067"/>
    <w:rsid w:val="00446B07"/>
    <w:rsid w:val="004509FD"/>
    <w:rsid w:val="00452416"/>
    <w:rsid w:val="00454A72"/>
    <w:rsid w:val="00455379"/>
    <w:rsid w:val="00455E6E"/>
    <w:rsid w:val="00456CD0"/>
    <w:rsid w:val="00456F23"/>
    <w:rsid w:val="004609C6"/>
    <w:rsid w:val="004617FC"/>
    <w:rsid w:val="00462DC2"/>
    <w:rsid w:val="004631AF"/>
    <w:rsid w:val="00463B21"/>
    <w:rsid w:val="00464030"/>
    <w:rsid w:val="0046467F"/>
    <w:rsid w:val="004658D5"/>
    <w:rsid w:val="00466D8E"/>
    <w:rsid w:val="0047129C"/>
    <w:rsid w:val="0047441B"/>
    <w:rsid w:val="0047702E"/>
    <w:rsid w:val="004822BD"/>
    <w:rsid w:val="00482A8C"/>
    <w:rsid w:val="00485859"/>
    <w:rsid w:val="00485AA9"/>
    <w:rsid w:val="00485FCD"/>
    <w:rsid w:val="004900DF"/>
    <w:rsid w:val="00491E63"/>
    <w:rsid w:val="0049383E"/>
    <w:rsid w:val="00494623"/>
    <w:rsid w:val="004948CC"/>
    <w:rsid w:val="00495639"/>
    <w:rsid w:val="00497649"/>
    <w:rsid w:val="00497696"/>
    <w:rsid w:val="004A0BEF"/>
    <w:rsid w:val="004A0C6D"/>
    <w:rsid w:val="004A0DB4"/>
    <w:rsid w:val="004A2989"/>
    <w:rsid w:val="004A3416"/>
    <w:rsid w:val="004A358A"/>
    <w:rsid w:val="004A38B7"/>
    <w:rsid w:val="004A5DF1"/>
    <w:rsid w:val="004A6BC2"/>
    <w:rsid w:val="004A77CC"/>
    <w:rsid w:val="004B0925"/>
    <w:rsid w:val="004B2D00"/>
    <w:rsid w:val="004B4CE3"/>
    <w:rsid w:val="004C0E10"/>
    <w:rsid w:val="004C2317"/>
    <w:rsid w:val="004C3652"/>
    <w:rsid w:val="004C4604"/>
    <w:rsid w:val="004C4BE5"/>
    <w:rsid w:val="004C5859"/>
    <w:rsid w:val="004C6212"/>
    <w:rsid w:val="004C786A"/>
    <w:rsid w:val="004C78A4"/>
    <w:rsid w:val="004D0BDA"/>
    <w:rsid w:val="004D2FD3"/>
    <w:rsid w:val="004D38A0"/>
    <w:rsid w:val="004D5D61"/>
    <w:rsid w:val="004D7092"/>
    <w:rsid w:val="004D7FAE"/>
    <w:rsid w:val="004E254C"/>
    <w:rsid w:val="004E3963"/>
    <w:rsid w:val="004E5706"/>
    <w:rsid w:val="004E67A4"/>
    <w:rsid w:val="004F0F9F"/>
    <w:rsid w:val="004F105E"/>
    <w:rsid w:val="004F1D68"/>
    <w:rsid w:val="004F569E"/>
    <w:rsid w:val="004F6F95"/>
    <w:rsid w:val="004F7E7D"/>
    <w:rsid w:val="00502445"/>
    <w:rsid w:val="005031A6"/>
    <w:rsid w:val="00503A53"/>
    <w:rsid w:val="00503DEB"/>
    <w:rsid w:val="005048A1"/>
    <w:rsid w:val="00505E8D"/>
    <w:rsid w:val="00506437"/>
    <w:rsid w:val="00506EE9"/>
    <w:rsid w:val="00506F15"/>
    <w:rsid w:val="00507CA1"/>
    <w:rsid w:val="00511DC4"/>
    <w:rsid w:val="00514483"/>
    <w:rsid w:val="00514826"/>
    <w:rsid w:val="00515CEB"/>
    <w:rsid w:val="00517885"/>
    <w:rsid w:val="005218CC"/>
    <w:rsid w:val="00522148"/>
    <w:rsid w:val="005241EC"/>
    <w:rsid w:val="005244DC"/>
    <w:rsid w:val="00524707"/>
    <w:rsid w:val="00524A1F"/>
    <w:rsid w:val="00525897"/>
    <w:rsid w:val="00531158"/>
    <w:rsid w:val="00532E65"/>
    <w:rsid w:val="00533DD8"/>
    <w:rsid w:val="00537CD4"/>
    <w:rsid w:val="0054054A"/>
    <w:rsid w:val="005431DE"/>
    <w:rsid w:val="005433C2"/>
    <w:rsid w:val="0054498D"/>
    <w:rsid w:val="00545B7C"/>
    <w:rsid w:val="00547BE3"/>
    <w:rsid w:val="00552962"/>
    <w:rsid w:val="005534B6"/>
    <w:rsid w:val="005535E8"/>
    <w:rsid w:val="005536FA"/>
    <w:rsid w:val="00554CF8"/>
    <w:rsid w:val="00555908"/>
    <w:rsid w:val="0055737F"/>
    <w:rsid w:val="00557FAB"/>
    <w:rsid w:val="005619B9"/>
    <w:rsid w:val="00561BE1"/>
    <w:rsid w:val="005625C7"/>
    <w:rsid w:val="00562D98"/>
    <w:rsid w:val="00562FBF"/>
    <w:rsid w:val="0056556C"/>
    <w:rsid w:val="005657EA"/>
    <w:rsid w:val="005702EA"/>
    <w:rsid w:val="005715C6"/>
    <w:rsid w:val="00573E02"/>
    <w:rsid w:val="005763E2"/>
    <w:rsid w:val="00577EC0"/>
    <w:rsid w:val="0058000F"/>
    <w:rsid w:val="0058331F"/>
    <w:rsid w:val="00590ECB"/>
    <w:rsid w:val="00591FFC"/>
    <w:rsid w:val="00592B70"/>
    <w:rsid w:val="00593366"/>
    <w:rsid w:val="00594450"/>
    <w:rsid w:val="005945FE"/>
    <w:rsid w:val="00595BEA"/>
    <w:rsid w:val="0059649F"/>
    <w:rsid w:val="005A0C1A"/>
    <w:rsid w:val="005A0F0D"/>
    <w:rsid w:val="005A1929"/>
    <w:rsid w:val="005A1D00"/>
    <w:rsid w:val="005A34D7"/>
    <w:rsid w:val="005A4A54"/>
    <w:rsid w:val="005B20FE"/>
    <w:rsid w:val="005B29B9"/>
    <w:rsid w:val="005B2E05"/>
    <w:rsid w:val="005B3591"/>
    <w:rsid w:val="005B3659"/>
    <w:rsid w:val="005B7808"/>
    <w:rsid w:val="005C083F"/>
    <w:rsid w:val="005C33A7"/>
    <w:rsid w:val="005C3ED0"/>
    <w:rsid w:val="005C4F11"/>
    <w:rsid w:val="005C5DA1"/>
    <w:rsid w:val="005C65B6"/>
    <w:rsid w:val="005D2FAA"/>
    <w:rsid w:val="005D6847"/>
    <w:rsid w:val="005E16C7"/>
    <w:rsid w:val="005E1A78"/>
    <w:rsid w:val="005E355E"/>
    <w:rsid w:val="005E406F"/>
    <w:rsid w:val="005E6746"/>
    <w:rsid w:val="005E70F0"/>
    <w:rsid w:val="005F0382"/>
    <w:rsid w:val="005F159B"/>
    <w:rsid w:val="005F15BD"/>
    <w:rsid w:val="005F2285"/>
    <w:rsid w:val="005F5D38"/>
    <w:rsid w:val="005F79A4"/>
    <w:rsid w:val="0060004A"/>
    <w:rsid w:val="00600175"/>
    <w:rsid w:val="006005D4"/>
    <w:rsid w:val="00601014"/>
    <w:rsid w:val="00602A41"/>
    <w:rsid w:val="00603E17"/>
    <w:rsid w:val="00606F08"/>
    <w:rsid w:val="006100D3"/>
    <w:rsid w:val="00610A64"/>
    <w:rsid w:val="00610EFE"/>
    <w:rsid w:val="00611406"/>
    <w:rsid w:val="00613B8E"/>
    <w:rsid w:val="00613C3C"/>
    <w:rsid w:val="006158E3"/>
    <w:rsid w:val="00617BE6"/>
    <w:rsid w:val="00620AED"/>
    <w:rsid w:val="0062134B"/>
    <w:rsid w:val="006219A7"/>
    <w:rsid w:val="00622F64"/>
    <w:rsid w:val="00627A7E"/>
    <w:rsid w:val="00630978"/>
    <w:rsid w:val="00630D3A"/>
    <w:rsid w:val="00632D2F"/>
    <w:rsid w:val="006354BD"/>
    <w:rsid w:val="00640CEE"/>
    <w:rsid w:val="00641CEE"/>
    <w:rsid w:val="00642A1D"/>
    <w:rsid w:val="00642ECA"/>
    <w:rsid w:val="0065020A"/>
    <w:rsid w:val="0065261C"/>
    <w:rsid w:val="006534A1"/>
    <w:rsid w:val="006534F4"/>
    <w:rsid w:val="006534FF"/>
    <w:rsid w:val="00653622"/>
    <w:rsid w:val="00655169"/>
    <w:rsid w:val="00656AE2"/>
    <w:rsid w:val="00656C52"/>
    <w:rsid w:val="00657C05"/>
    <w:rsid w:val="00660A61"/>
    <w:rsid w:val="00660B11"/>
    <w:rsid w:val="0066186C"/>
    <w:rsid w:val="0067086D"/>
    <w:rsid w:val="006730CB"/>
    <w:rsid w:val="00673200"/>
    <w:rsid w:val="006755EC"/>
    <w:rsid w:val="006757F1"/>
    <w:rsid w:val="006778BE"/>
    <w:rsid w:val="00677B30"/>
    <w:rsid w:val="00683A7F"/>
    <w:rsid w:val="00686117"/>
    <w:rsid w:val="00686BED"/>
    <w:rsid w:val="006871EE"/>
    <w:rsid w:val="00687297"/>
    <w:rsid w:val="00692218"/>
    <w:rsid w:val="0069340E"/>
    <w:rsid w:val="00694415"/>
    <w:rsid w:val="00694AB4"/>
    <w:rsid w:val="006959EE"/>
    <w:rsid w:val="006967EF"/>
    <w:rsid w:val="00697CA1"/>
    <w:rsid w:val="006A1261"/>
    <w:rsid w:val="006A27C8"/>
    <w:rsid w:val="006A3783"/>
    <w:rsid w:val="006A54EA"/>
    <w:rsid w:val="006A6459"/>
    <w:rsid w:val="006A7BE0"/>
    <w:rsid w:val="006A7FB1"/>
    <w:rsid w:val="006B29B0"/>
    <w:rsid w:val="006B3B21"/>
    <w:rsid w:val="006B5378"/>
    <w:rsid w:val="006B7224"/>
    <w:rsid w:val="006B74F5"/>
    <w:rsid w:val="006C0F78"/>
    <w:rsid w:val="006C18D0"/>
    <w:rsid w:val="006C4A04"/>
    <w:rsid w:val="006C540B"/>
    <w:rsid w:val="006D0328"/>
    <w:rsid w:val="006D154B"/>
    <w:rsid w:val="006D40C8"/>
    <w:rsid w:val="006D42FF"/>
    <w:rsid w:val="006D5F70"/>
    <w:rsid w:val="006E07B7"/>
    <w:rsid w:val="006E1DB7"/>
    <w:rsid w:val="006E2527"/>
    <w:rsid w:val="006E25E1"/>
    <w:rsid w:val="006E2D24"/>
    <w:rsid w:val="006E58FA"/>
    <w:rsid w:val="006E5B7E"/>
    <w:rsid w:val="006E7699"/>
    <w:rsid w:val="006F19CC"/>
    <w:rsid w:val="006F1B7C"/>
    <w:rsid w:val="006F3969"/>
    <w:rsid w:val="006F503B"/>
    <w:rsid w:val="006F54A2"/>
    <w:rsid w:val="006F62A9"/>
    <w:rsid w:val="00700320"/>
    <w:rsid w:val="007017FE"/>
    <w:rsid w:val="00704C3A"/>
    <w:rsid w:val="00704C53"/>
    <w:rsid w:val="00704DCF"/>
    <w:rsid w:val="007069E7"/>
    <w:rsid w:val="00707B5D"/>
    <w:rsid w:val="00710A1A"/>
    <w:rsid w:val="00711377"/>
    <w:rsid w:val="00712366"/>
    <w:rsid w:val="00712B10"/>
    <w:rsid w:val="00714377"/>
    <w:rsid w:val="00714D20"/>
    <w:rsid w:val="00714FF5"/>
    <w:rsid w:val="0071578C"/>
    <w:rsid w:val="0071610D"/>
    <w:rsid w:val="007161D4"/>
    <w:rsid w:val="00721A17"/>
    <w:rsid w:val="00721C30"/>
    <w:rsid w:val="00722579"/>
    <w:rsid w:val="007225D0"/>
    <w:rsid w:val="00722C81"/>
    <w:rsid w:val="00724654"/>
    <w:rsid w:val="0072470B"/>
    <w:rsid w:val="0072616F"/>
    <w:rsid w:val="00730DA6"/>
    <w:rsid w:val="007327EE"/>
    <w:rsid w:val="0073444C"/>
    <w:rsid w:val="0073502F"/>
    <w:rsid w:val="0073537A"/>
    <w:rsid w:val="007357A0"/>
    <w:rsid w:val="00735934"/>
    <w:rsid w:val="00736415"/>
    <w:rsid w:val="007418B3"/>
    <w:rsid w:val="00742F56"/>
    <w:rsid w:val="007466B7"/>
    <w:rsid w:val="00747BB4"/>
    <w:rsid w:val="00750443"/>
    <w:rsid w:val="007506A9"/>
    <w:rsid w:val="00750DEC"/>
    <w:rsid w:val="007512C4"/>
    <w:rsid w:val="00751D34"/>
    <w:rsid w:val="00753988"/>
    <w:rsid w:val="00753F6F"/>
    <w:rsid w:val="00755041"/>
    <w:rsid w:val="007559BA"/>
    <w:rsid w:val="00757A9E"/>
    <w:rsid w:val="007621B2"/>
    <w:rsid w:val="0076252D"/>
    <w:rsid w:val="0076423D"/>
    <w:rsid w:val="00765954"/>
    <w:rsid w:val="00767ED4"/>
    <w:rsid w:val="00771A12"/>
    <w:rsid w:val="00780DE5"/>
    <w:rsid w:val="0078140F"/>
    <w:rsid w:val="0078197F"/>
    <w:rsid w:val="0078249A"/>
    <w:rsid w:val="007831C0"/>
    <w:rsid w:val="00783408"/>
    <w:rsid w:val="00783815"/>
    <w:rsid w:val="007838F1"/>
    <w:rsid w:val="00784CC8"/>
    <w:rsid w:val="00784E15"/>
    <w:rsid w:val="007869CB"/>
    <w:rsid w:val="00786B6C"/>
    <w:rsid w:val="00795021"/>
    <w:rsid w:val="00795682"/>
    <w:rsid w:val="00795933"/>
    <w:rsid w:val="00796468"/>
    <w:rsid w:val="00796B48"/>
    <w:rsid w:val="00796CB3"/>
    <w:rsid w:val="00796E18"/>
    <w:rsid w:val="007A08AC"/>
    <w:rsid w:val="007A1B9D"/>
    <w:rsid w:val="007A1EF3"/>
    <w:rsid w:val="007A3819"/>
    <w:rsid w:val="007A59BF"/>
    <w:rsid w:val="007A5F5D"/>
    <w:rsid w:val="007A629C"/>
    <w:rsid w:val="007A6954"/>
    <w:rsid w:val="007A7026"/>
    <w:rsid w:val="007A76A3"/>
    <w:rsid w:val="007B3DED"/>
    <w:rsid w:val="007B5123"/>
    <w:rsid w:val="007B5362"/>
    <w:rsid w:val="007B7BBD"/>
    <w:rsid w:val="007C154B"/>
    <w:rsid w:val="007C24A6"/>
    <w:rsid w:val="007C4A67"/>
    <w:rsid w:val="007D0C5F"/>
    <w:rsid w:val="007D160F"/>
    <w:rsid w:val="007D1AD6"/>
    <w:rsid w:val="007D50AB"/>
    <w:rsid w:val="007D7D80"/>
    <w:rsid w:val="007E037B"/>
    <w:rsid w:val="007E0A3A"/>
    <w:rsid w:val="007E387B"/>
    <w:rsid w:val="007E4AF7"/>
    <w:rsid w:val="007E5BFB"/>
    <w:rsid w:val="007E6606"/>
    <w:rsid w:val="007E7587"/>
    <w:rsid w:val="007F0404"/>
    <w:rsid w:val="007F2A51"/>
    <w:rsid w:val="007F2C5D"/>
    <w:rsid w:val="007F38C4"/>
    <w:rsid w:val="007F4CA0"/>
    <w:rsid w:val="007F5CDA"/>
    <w:rsid w:val="007F6A89"/>
    <w:rsid w:val="00801154"/>
    <w:rsid w:val="00802498"/>
    <w:rsid w:val="00804953"/>
    <w:rsid w:val="0081035F"/>
    <w:rsid w:val="0081526E"/>
    <w:rsid w:val="008157FA"/>
    <w:rsid w:val="0081758B"/>
    <w:rsid w:val="00820A6D"/>
    <w:rsid w:val="008213B9"/>
    <w:rsid w:val="00823CC9"/>
    <w:rsid w:val="008251F7"/>
    <w:rsid w:val="00826B64"/>
    <w:rsid w:val="00826BEC"/>
    <w:rsid w:val="008300AA"/>
    <w:rsid w:val="0083246E"/>
    <w:rsid w:val="00832A65"/>
    <w:rsid w:val="00833CB2"/>
    <w:rsid w:val="00834376"/>
    <w:rsid w:val="0083559D"/>
    <w:rsid w:val="0083790C"/>
    <w:rsid w:val="00837FD4"/>
    <w:rsid w:val="00840145"/>
    <w:rsid w:val="00846411"/>
    <w:rsid w:val="008466F1"/>
    <w:rsid w:val="008469E9"/>
    <w:rsid w:val="00850322"/>
    <w:rsid w:val="00850ECE"/>
    <w:rsid w:val="008534C5"/>
    <w:rsid w:val="00857DE9"/>
    <w:rsid w:val="008602DC"/>
    <w:rsid w:val="008603EE"/>
    <w:rsid w:val="008604AB"/>
    <w:rsid w:val="00861851"/>
    <w:rsid w:val="00862FAD"/>
    <w:rsid w:val="00863830"/>
    <w:rsid w:val="00865897"/>
    <w:rsid w:val="00867743"/>
    <w:rsid w:val="00870880"/>
    <w:rsid w:val="00873832"/>
    <w:rsid w:val="008740E4"/>
    <w:rsid w:val="008746C7"/>
    <w:rsid w:val="00874DF3"/>
    <w:rsid w:val="00875C7F"/>
    <w:rsid w:val="008803C7"/>
    <w:rsid w:val="00880C9B"/>
    <w:rsid w:val="00881016"/>
    <w:rsid w:val="008825A2"/>
    <w:rsid w:val="00883B2D"/>
    <w:rsid w:val="00884778"/>
    <w:rsid w:val="008855C7"/>
    <w:rsid w:val="0088657B"/>
    <w:rsid w:val="00886ADB"/>
    <w:rsid w:val="00891D61"/>
    <w:rsid w:val="00892070"/>
    <w:rsid w:val="00892A6E"/>
    <w:rsid w:val="0089484C"/>
    <w:rsid w:val="00895F98"/>
    <w:rsid w:val="008972E9"/>
    <w:rsid w:val="0089730B"/>
    <w:rsid w:val="008A29E9"/>
    <w:rsid w:val="008A3958"/>
    <w:rsid w:val="008A3D6C"/>
    <w:rsid w:val="008A6006"/>
    <w:rsid w:val="008A6782"/>
    <w:rsid w:val="008B0747"/>
    <w:rsid w:val="008B0D93"/>
    <w:rsid w:val="008B0FF1"/>
    <w:rsid w:val="008B1139"/>
    <w:rsid w:val="008B16B9"/>
    <w:rsid w:val="008B244D"/>
    <w:rsid w:val="008B287D"/>
    <w:rsid w:val="008B2888"/>
    <w:rsid w:val="008B4051"/>
    <w:rsid w:val="008B55C2"/>
    <w:rsid w:val="008B5935"/>
    <w:rsid w:val="008B66CD"/>
    <w:rsid w:val="008B685A"/>
    <w:rsid w:val="008C17AD"/>
    <w:rsid w:val="008C1A40"/>
    <w:rsid w:val="008C1EEF"/>
    <w:rsid w:val="008C2EE0"/>
    <w:rsid w:val="008C37BB"/>
    <w:rsid w:val="008C431B"/>
    <w:rsid w:val="008C4FA3"/>
    <w:rsid w:val="008C5417"/>
    <w:rsid w:val="008C57CD"/>
    <w:rsid w:val="008C61C8"/>
    <w:rsid w:val="008C6CE0"/>
    <w:rsid w:val="008C746C"/>
    <w:rsid w:val="008D27A8"/>
    <w:rsid w:val="008D34D0"/>
    <w:rsid w:val="008D36B0"/>
    <w:rsid w:val="008D5548"/>
    <w:rsid w:val="008E1B57"/>
    <w:rsid w:val="008E1E51"/>
    <w:rsid w:val="008E41C7"/>
    <w:rsid w:val="008E58CA"/>
    <w:rsid w:val="008E6CE1"/>
    <w:rsid w:val="008F13DF"/>
    <w:rsid w:val="008F1469"/>
    <w:rsid w:val="008F2BD0"/>
    <w:rsid w:val="008F6105"/>
    <w:rsid w:val="00903EAA"/>
    <w:rsid w:val="00903EE9"/>
    <w:rsid w:val="00904429"/>
    <w:rsid w:val="00904CA0"/>
    <w:rsid w:val="00911507"/>
    <w:rsid w:val="00911CB1"/>
    <w:rsid w:val="00915DA2"/>
    <w:rsid w:val="0091689D"/>
    <w:rsid w:val="00917061"/>
    <w:rsid w:val="00917092"/>
    <w:rsid w:val="009173D1"/>
    <w:rsid w:val="00917837"/>
    <w:rsid w:val="0091794E"/>
    <w:rsid w:val="009207DB"/>
    <w:rsid w:val="0092228B"/>
    <w:rsid w:val="0092229A"/>
    <w:rsid w:val="00922351"/>
    <w:rsid w:val="009228C3"/>
    <w:rsid w:val="009233D4"/>
    <w:rsid w:val="009248C9"/>
    <w:rsid w:val="009251CD"/>
    <w:rsid w:val="00927204"/>
    <w:rsid w:val="00927D6E"/>
    <w:rsid w:val="00930BA0"/>
    <w:rsid w:val="00931647"/>
    <w:rsid w:val="009332A0"/>
    <w:rsid w:val="00933391"/>
    <w:rsid w:val="009352FA"/>
    <w:rsid w:val="009359C0"/>
    <w:rsid w:val="00936478"/>
    <w:rsid w:val="00936DE3"/>
    <w:rsid w:val="009374B1"/>
    <w:rsid w:val="00937827"/>
    <w:rsid w:val="00940613"/>
    <w:rsid w:val="0094221D"/>
    <w:rsid w:val="00944982"/>
    <w:rsid w:val="00945A46"/>
    <w:rsid w:val="009479DF"/>
    <w:rsid w:val="0095120C"/>
    <w:rsid w:val="0095316B"/>
    <w:rsid w:val="009533C4"/>
    <w:rsid w:val="00955263"/>
    <w:rsid w:val="00957C09"/>
    <w:rsid w:val="00960CA0"/>
    <w:rsid w:val="00961445"/>
    <w:rsid w:val="009625BF"/>
    <w:rsid w:val="009645DB"/>
    <w:rsid w:val="00964FD2"/>
    <w:rsid w:val="00965299"/>
    <w:rsid w:val="00965441"/>
    <w:rsid w:val="00966B4B"/>
    <w:rsid w:val="009703C5"/>
    <w:rsid w:val="00974B90"/>
    <w:rsid w:val="00975B46"/>
    <w:rsid w:val="00976DD3"/>
    <w:rsid w:val="009770A1"/>
    <w:rsid w:val="00977B6F"/>
    <w:rsid w:val="009803E7"/>
    <w:rsid w:val="00980A21"/>
    <w:rsid w:val="0098213B"/>
    <w:rsid w:val="00983112"/>
    <w:rsid w:val="00983310"/>
    <w:rsid w:val="009859E2"/>
    <w:rsid w:val="00986A8D"/>
    <w:rsid w:val="00987884"/>
    <w:rsid w:val="00987CCE"/>
    <w:rsid w:val="00990CC4"/>
    <w:rsid w:val="00990F9E"/>
    <w:rsid w:val="00990FBA"/>
    <w:rsid w:val="00991010"/>
    <w:rsid w:val="009926EC"/>
    <w:rsid w:val="00995EA7"/>
    <w:rsid w:val="009964F2"/>
    <w:rsid w:val="00996E5C"/>
    <w:rsid w:val="00997AC2"/>
    <w:rsid w:val="009A4400"/>
    <w:rsid w:val="009A4C3B"/>
    <w:rsid w:val="009A5427"/>
    <w:rsid w:val="009A6CFA"/>
    <w:rsid w:val="009B0A74"/>
    <w:rsid w:val="009B1E19"/>
    <w:rsid w:val="009B25BA"/>
    <w:rsid w:val="009B2B66"/>
    <w:rsid w:val="009B56CB"/>
    <w:rsid w:val="009B78F4"/>
    <w:rsid w:val="009C0214"/>
    <w:rsid w:val="009C0722"/>
    <w:rsid w:val="009C2F35"/>
    <w:rsid w:val="009C6AC5"/>
    <w:rsid w:val="009C7A80"/>
    <w:rsid w:val="009C7C47"/>
    <w:rsid w:val="009C7F68"/>
    <w:rsid w:val="009D00E5"/>
    <w:rsid w:val="009D2207"/>
    <w:rsid w:val="009D3548"/>
    <w:rsid w:val="009D3D25"/>
    <w:rsid w:val="009D4321"/>
    <w:rsid w:val="009D5244"/>
    <w:rsid w:val="009D5A4E"/>
    <w:rsid w:val="009E2C05"/>
    <w:rsid w:val="009E307A"/>
    <w:rsid w:val="009E4F4C"/>
    <w:rsid w:val="009E708A"/>
    <w:rsid w:val="009E7E99"/>
    <w:rsid w:val="009F1662"/>
    <w:rsid w:val="009F1974"/>
    <w:rsid w:val="009F2CE4"/>
    <w:rsid w:val="009F42D8"/>
    <w:rsid w:val="009F4C78"/>
    <w:rsid w:val="009F5B31"/>
    <w:rsid w:val="009F5DE2"/>
    <w:rsid w:val="00A00395"/>
    <w:rsid w:val="00A0535C"/>
    <w:rsid w:val="00A05DAB"/>
    <w:rsid w:val="00A11CF7"/>
    <w:rsid w:val="00A149C8"/>
    <w:rsid w:val="00A14B5F"/>
    <w:rsid w:val="00A15305"/>
    <w:rsid w:val="00A167B4"/>
    <w:rsid w:val="00A172EA"/>
    <w:rsid w:val="00A2068C"/>
    <w:rsid w:val="00A223F2"/>
    <w:rsid w:val="00A228C8"/>
    <w:rsid w:val="00A22A1D"/>
    <w:rsid w:val="00A22C11"/>
    <w:rsid w:val="00A22EA0"/>
    <w:rsid w:val="00A237ED"/>
    <w:rsid w:val="00A2538F"/>
    <w:rsid w:val="00A25E8C"/>
    <w:rsid w:val="00A26B90"/>
    <w:rsid w:val="00A2791E"/>
    <w:rsid w:val="00A30932"/>
    <w:rsid w:val="00A31359"/>
    <w:rsid w:val="00A3249E"/>
    <w:rsid w:val="00A326BD"/>
    <w:rsid w:val="00A349F8"/>
    <w:rsid w:val="00A35275"/>
    <w:rsid w:val="00A37BC1"/>
    <w:rsid w:val="00A37C68"/>
    <w:rsid w:val="00A417F0"/>
    <w:rsid w:val="00A4453D"/>
    <w:rsid w:val="00A44C64"/>
    <w:rsid w:val="00A51939"/>
    <w:rsid w:val="00A5196B"/>
    <w:rsid w:val="00A52820"/>
    <w:rsid w:val="00A52934"/>
    <w:rsid w:val="00A530AA"/>
    <w:rsid w:val="00A5566C"/>
    <w:rsid w:val="00A56A3C"/>
    <w:rsid w:val="00A5792C"/>
    <w:rsid w:val="00A62974"/>
    <w:rsid w:val="00A6480B"/>
    <w:rsid w:val="00A6485E"/>
    <w:rsid w:val="00A660C5"/>
    <w:rsid w:val="00A70CF6"/>
    <w:rsid w:val="00A70FB4"/>
    <w:rsid w:val="00A715F5"/>
    <w:rsid w:val="00A71EE6"/>
    <w:rsid w:val="00A73639"/>
    <w:rsid w:val="00A75B11"/>
    <w:rsid w:val="00A76501"/>
    <w:rsid w:val="00A77F31"/>
    <w:rsid w:val="00A8093B"/>
    <w:rsid w:val="00A80FDA"/>
    <w:rsid w:val="00A8173C"/>
    <w:rsid w:val="00A81D07"/>
    <w:rsid w:val="00A820F8"/>
    <w:rsid w:val="00A83B92"/>
    <w:rsid w:val="00A844BE"/>
    <w:rsid w:val="00A866F3"/>
    <w:rsid w:val="00A87231"/>
    <w:rsid w:val="00A873B9"/>
    <w:rsid w:val="00A902C2"/>
    <w:rsid w:val="00A91A54"/>
    <w:rsid w:val="00A92B64"/>
    <w:rsid w:val="00A93FB7"/>
    <w:rsid w:val="00A9489F"/>
    <w:rsid w:val="00A9501B"/>
    <w:rsid w:val="00A95087"/>
    <w:rsid w:val="00A95B5D"/>
    <w:rsid w:val="00A967E8"/>
    <w:rsid w:val="00A97DD6"/>
    <w:rsid w:val="00AA0781"/>
    <w:rsid w:val="00AA1053"/>
    <w:rsid w:val="00AA20ED"/>
    <w:rsid w:val="00AA6BE2"/>
    <w:rsid w:val="00AA6DA0"/>
    <w:rsid w:val="00AB2F4A"/>
    <w:rsid w:val="00AB3479"/>
    <w:rsid w:val="00AB4220"/>
    <w:rsid w:val="00AB488F"/>
    <w:rsid w:val="00AB54EA"/>
    <w:rsid w:val="00AB7FC1"/>
    <w:rsid w:val="00AC2999"/>
    <w:rsid w:val="00AC3B61"/>
    <w:rsid w:val="00AC3C38"/>
    <w:rsid w:val="00AC6C86"/>
    <w:rsid w:val="00AC73C5"/>
    <w:rsid w:val="00AD12F0"/>
    <w:rsid w:val="00AD3914"/>
    <w:rsid w:val="00AE1F13"/>
    <w:rsid w:val="00AE463C"/>
    <w:rsid w:val="00AE6CBF"/>
    <w:rsid w:val="00AF0B53"/>
    <w:rsid w:val="00AF2F16"/>
    <w:rsid w:val="00AF4821"/>
    <w:rsid w:val="00AF4EE9"/>
    <w:rsid w:val="00AF737F"/>
    <w:rsid w:val="00B0043F"/>
    <w:rsid w:val="00B004D2"/>
    <w:rsid w:val="00B02859"/>
    <w:rsid w:val="00B031D0"/>
    <w:rsid w:val="00B06698"/>
    <w:rsid w:val="00B06EFA"/>
    <w:rsid w:val="00B071FA"/>
    <w:rsid w:val="00B07FEC"/>
    <w:rsid w:val="00B10A75"/>
    <w:rsid w:val="00B11369"/>
    <w:rsid w:val="00B11ABD"/>
    <w:rsid w:val="00B12F6B"/>
    <w:rsid w:val="00B13193"/>
    <w:rsid w:val="00B13960"/>
    <w:rsid w:val="00B13E56"/>
    <w:rsid w:val="00B13EF8"/>
    <w:rsid w:val="00B20592"/>
    <w:rsid w:val="00B20A5C"/>
    <w:rsid w:val="00B21346"/>
    <w:rsid w:val="00B21576"/>
    <w:rsid w:val="00B2207A"/>
    <w:rsid w:val="00B223E9"/>
    <w:rsid w:val="00B22F63"/>
    <w:rsid w:val="00B266BA"/>
    <w:rsid w:val="00B266D7"/>
    <w:rsid w:val="00B27F67"/>
    <w:rsid w:val="00B30896"/>
    <w:rsid w:val="00B3494F"/>
    <w:rsid w:val="00B35C31"/>
    <w:rsid w:val="00B35FC9"/>
    <w:rsid w:val="00B36261"/>
    <w:rsid w:val="00B37972"/>
    <w:rsid w:val="00B41D79"/>
    <w:rsid w:val="00B4220D"/>
    <w:rsid w:val="00B4392C"/>
    <w:rsid w:val="00B44836"/>
    <w:rsid w:val="00B44948"/>
    <w:rsid w:val="00B44AC0"/>
    <w:rsid w:val="00B456A7"/>
    <w:rsid w:val="00B465CA"/>
    <w:rsid w:val="00B471F6"/>
    <w:rsid w:val="00B4775D"/>
    <w:rsid w:val="00B477D1"/>
    <w:rsid w:val="00B47BAE"/>
    <w:rsid w:val="00B50E59"/>
    <w:rsid w:val="00B51E1F"/>
    <w:rsid w:val="00B5296F"/>
    <w:rsid w:val="00B52A8D"/>
    <w:rsid w:val="00B52EFF"/>
    <w:rsid w:val="00B545FA"/>
    <w:rsid w:val="00B60659"/>
    <w:rsid w:val="00B60FAC"/>
    <w:rsid w:val="00B60FD3"/>
    <w:rsid w:val="00B61C72"/>
    <w:rsid w:val="00B6227B"/>
    <w:rsid w:val="00B63196"/>
    <w:rsid w:val="00B63F7D"/>
    <w:rsid w:val="00B67CFA"/>
    <w:rsid w:val="00B7061E"/>
    <w:rsid w:val="00B70E15"/>
    <w:rsid w:val="00B72450"/>
    <w:rsid w:val="00B72B9E"/>
    <w:rsid w:val="00B72E02"/>
    <w:rsid w:val="00B730FC"/>
    <w:rsid w:val="00B73E99"/>
    <w:rsid w:val="00B745A1"/>
    <w:rsid w:val="00B76A1E"/>
    <w:rsid w:val="00B76E7C"/>
    <w:rsid w:val="00B80075"/>
    <w:rsid w:val="00B813C5"/>
    <w:rsid w:val="00B81776"/>
    <w:rsid w:val="00B8377A"/>
    <w:rsid w:val="00B8454D"/>
    <w:rsid w:val="00B86BE7"/>
    <w:rsid w:val="00B92E27"/>
    <w:rsid w:val="00B93F79"/>
    <w:rsid w:val="00B9426C"/>
    <w:rsid w:val="00B95C04"/>
    <w:rsid w:val="00B968A7"/>
    <w:rsid w:val="00B96DFF"/>
    <w:rsid w:val="00BA0AFD"/>
    <w:rsid w:val="00BA5586"/>
    <w:rsid w:val="00BA6583"/>
    <w:rsid w:val="00BA7BB2"/>
    <w:rsid w:val="00BB2D3E"/>
    <w:rsid w:val="00BB3B26"/>
    <w:rsid w:val="00BB4277"/>
    <w:rsid w:val="00BB4B7F"/>
    <w:rsid w:val="00BB55B7"/>
    <w:rsid w:val="00BB6696"/>
    <w:rsid w:val="00BB721D"/>
    <w:rsid w:val="00BC2EB8"/>
    <w:rsid w:val="00BC73FC"/>
    <w:rsid w:val="00BD38EE"/>
    <w:rsid w:val="00BD3C56"/>
    <w:rsid w:val="00BD4F46"/>
    <w:rsid w:val="00BD61AE"/>
    <w:rsid w:val="00BD73D4"/>
    <w:rsid w:val="00BD7D6B"/>
    <w:rsid w:val="00BE06B5"/>
    <w:rsid w:val="00BE3018"/>
    <w:rsid w:val="00BE33C9"/>
    <w:rsid w:val="00BE3925"/>
    <w:rsid w:val="00BE3C7B"/>
    <w:rsid w:val="00BF042C"/>
    <w:rsid w:val="00BF0774"/>
    <w:rsid w:val="00BF0A83"/>
    <w:rsid w:val="00BF5969"/>
    <w:rsid w:val="00BF69B5"/>
    <w:rsid w:val="00BF6FE8"/>
    <w:rsid w:val="00BF76BF"/>
    <w:rsid w:val="00BF76FA"/>
    <w:rsid w:val="00C0086F"/>
    <w:rsid w:val="00C0296A"/>
    <w:rsid w:val="00C0369F"/>
    <w:rsid w:val="00C05BF7"/>
    <w:rsid w:val="00C07C52"/>
    <w:rsid w:val="00C11598"/>
    <w:rsid w:val="00C1171F"/>
    <w:rsid w:val="00C119E0"/>
    <w:rsid w:val="00C12D1C"/>
    <w:rsid w:val="00C1366A"/>
    <w:rsid w:val="00C136F2"/>
    <w:rsid w:val="00C138C9"/>
    <w:rsid w:val="00C15E78"/>
    <w:rsid w:val="00C177EC"/>
    <w:rsid w:val="00C17B80"/>
    <w:rsid w:val="00C203EC"/>
    <w:rsid w:val="00C20E76"/>
    <w:rsid w:val="00C2256F"/>
    <w:rsid w:val="00C22585"/>
    <w:rsid w:val="00C241BE"/>
    <w:rsid w:val="00C243F1"/>
    <w:rsid w:val="00C25384"/>
    <w:rsid w:val="00C25CE7"/>
    <w:rsid w:val="00C261E8"/>
    <w:rsid w:val="00C274E2"/>
    <w:rsid w:val="00C27613"/>
    <w:rsid w:val="00C30D3B"/>
    <w:rsid w:val="00C327B4"/>
    <w:rsid w:val="00C328DC"/>
    <w:rsid w:val="00C32DC3"/>
    <w:rsid w:val="00C341A4"/>
    <w:rsid w:val="00C35909"/>
    <w:rsid w:val="00C37121"/>
    <w:rsid w:val="00C41A1C"/>
    <w:rsid w:val="00C41B0D"/>
    <w:rsid w:val="00C44A90"/>
    <w:rsid w:val="00C4656E"/>
    <w:rsid w:val="00C46BE3"/>
    <w:rsid w:val="00C52CF6"/>
    <w:rsid w:val="00C53123"/>
    <w:rsid w:val="00C56B2A"/>
    <w:rsid w:val="00C578CC"/>
    <w:rsid w:val="00C57E61"/>
    <w:rsid w:val="00C610AF"/>
    <w:rsid w:val="00C64784"/>
    <w:rsid w:val="00C65068"/>
    <w:rsid w:val="00C661D6"/>
    <w:rsid w:val="00C6738F"/>
    <w:rsid w:val="00C70E8C"/>
    <w:rsid w:val="00C74934"/>
    <w:rsid w:val="00C76127"/>
    <w:rsid w:val="00C80E72"/>
    <w:rsid w:val="00C80F28"/>
    <w:rsid w:val="00C829AC"/>
    <w:rsid w:val="00C8360D"/>
    <w:rsid w:val="00C84788"/>
    <w:rsid w:val="00C8605F"/>
    <w:rsid w:val="00C8743C"/>
    <w:rsid w:val="00C91864"/>
    <w:rsid w:val="00C91929"/>
    <w:rsid w:val="00C951CE"/>
    <w:rsid w:val="00C96808"/>
    <w:rsid w:val="00C97677"/>
    <w:rsid w:val="00C9791E"/>
    <w:rsid w:val="00C97E97"/>
    <w:rsid w:val="00CA1413"/>
    <w:rsid w:val="00CA2077"/>
    <w:rsid w:val="00CA2ABA"/>
    <w:rsid w:val="00CA3AE3"/>
    <w:rsid w:val="00CB05F8"/>
    <w:rsid w:val="00CB12FA"/>
    <w:rsid w:val="00CB15B1"/>
    <w:rsid w:val="00CB1AD9"/>
    <w:rsid w:val="00CB2D8D"/>
    <w:rsid w:val="00CB4880"/>
    <w:rsid w:val="00CB4CAD"/>
    <w:rsid w:val="00CB4D75"/>
    <w:rsid w:val="00CC33DA"/>
    <w:rsid w:val="00CC4C07"/>
    <w:rsid w:val="00CC6B48"/>
    <w:rsid w:val="00CD0F62"/>
    <w:rsid w:val="00CD1F92"/>
    <w:rsid w:val="00CD20C5"/>
    <w:rsid w:val="00CD255E"/>
    <w:rsid w:val="00CD25BD"/>
    <w:rsid w:val="00CD29A3"/>
    <w:rsid w:val="00CD38D5"/>
    <w:rsid w:val="00CD7BD4"/>
    <w:rsid w:val="00CE09DD"/>
    <w:rsid w:val="00CE0F39"/>
    <w:rsid w:val="00CE45FB"/>
    <w:rsid w:val="00CE5B15"/>
    <w:rsid w:val="00CE7276"/>
    <w:rsid w:val="00CF1AC1"/>
    <w:rsid w:val="00CF31A9"/>
    <w:rsid w:val="00CF3B49"/>
    <w:rsid w:val="00CF5F90"/>
    <w:rsid w:val="00CF60D0"/>
    <w:rsid w:val="00CF76E3"/>
    <w:rsid w:val="00CF7DCF"/>
    <w:rsid w:val="00D03023"/>
    <w:rsid w:val="00D049F7"/>
    <w:rsid w:val="00D0562E"/>
    <w:rsid w:val="00D071AE"/>
    <w:rsid w:val="00D07A59"/>
    <w:rsid w:val="00D1225F"/>
    <w:rsid w:val="00D1234C"/>
    <w:rsid w:val="00D12C55"/>
    <w:rsid w:val="00D154D1"/>
    <w:rsid w:val="00D17401"/>
    <w:rsid w:val="00D2044C"/>
    <w:rsid w:val="00D2428C"/>
    <w:rsid w:val="00D24A6E"/>
    <w:rsid w:val="00D24EA8"/>
    <w:rsid w:val="00D2521F"/>
    <w:rsid w:val="00D27AF9"/>
    <w:rsid w:val="00D30624"/>
    <w:rsid w:val="00D30F90"/>
    <w:rsid w:val="00D31484"/>
    <w:rsid w:val="00D32351"/>
    <w:rsid w:val="00D33998"/>
    <w:rsid w:val="00D3560C"/>
    <w:rsid w:val="00D3624F"/>
    <w:rsid w:val="00D36371"/>
    <w:rsid w:val="00D36B02"/>
    <w:rsid w:val="00D376FE"/>
    <w:rsid w:val="00D40EEC"/>
    <w:rsid w:val="00D42571"/>
    <w:rsid w:val="00D4363B"/>
    <w:rsid w:val="00D43712"/>
    <w:rsid w:val="00D439E4"/>
    <w:rsid w:val="00D46CFB"/>
    <w:rsid w:val="00D50587"/>
    <w:rsid w:val="00D50802"/>
    <w:rsid w:val="00D51D21"/>
    <w:rsid w:val="00D524C2"/>
    <w:rsid w:val="00D532C1"/>
    <w:rsid w:val="00D54C29"/>
    <w:rsid w:val="00D55090"/>
    <w:rsid w:val="00D560CF"/>
    <w:rsid w:val="00D560D8"/>
    <w:rsid w:val="00D577B7"/>
    <w:rsid w:val="00D57C3A"/>
    <w:rsid w:val="00D61E15"/>
    <w:rsid w:val="00D61EBB"/>
    <w:rsid w:val="00D61EF7"/>
    <w:rsid w:val="00D64EA4"/>
    <w:rsid w:val="00D66FE1"/>
    <w:rsid w:val="00D67555"/>
    <w:rsid w:val="00D72BCB"/>
    <w:rsid w:val="00D75327"/>
    <w:rsid w:val="00D76C1A"/>
    <w:rsid w:val="00D816E7"/>
    <w:rsid w:val="00D821E5"/>
    <w:rsid w:val="00D82650"/>
    <w:rsid w:val="00D82C78"/>
    <w:rsid w:val="00D84600"/>
    <w:rsid w:val="00D86448"/>
    <w:rsid w:val="00D87BC3"/>
    <w:rsid w:val="00D92111"/>
    <w:rsid w:val="00D92187"/>
    <w:rsid w:val="00D95802"/>
    <w:rsid w:val="00DA2993"/>
    <w:rsid w:val="00DA2EFA"/>
    <w:rsid w:val="00DA473E"/>
    <w:rsid w:val="00DA4F4B"/>
    <w:rsid w:val="00DA5239"/>
    <w:rsid w:val="00DA52E1"/>
    <w:rsid w:val="00DA5FA7"/>
    <w:rsid w:val="00DB14C9"/>
    <w:rsid w:val="00DB3FA1"/>
    <w:rsid w:val="00DB75FE"/>
    <w:rsid w:val="00DB761C"/>
    <w:rsid w:val="00DB7692"/>
    <w:rsid w:val="00DC0096"/>
    <w:rsid w:val="00DC4ABF"/>
    <w:rsid w:val="00DD21F8"/>
    <w:rsid w:val="00DD2311"/>
    <w:rsid w:val="00DD2B55"/>
    <w:rsid w:val="00DD4B2D"/>
    <w:rsid w:val="00DD7535"/>
    <w:rsid w:val="00DD79B6"/>
    <w:rsid w:val="00DD7AAA"/>
    <w:rsid w:val="00DE19DD"/>
    <w:rsid w:val="00DE2415"/>
    <w:rsid w:val="00DE3EC5"/>
    <w:rsid w:val="00DE5743"/>
    <w:rsid w:val="00DE74F0"/>
    <w:rsid w:val="00DF3DFB"/>
    <w:rsid w:val="00DF41DF"/>
    <w:rsid w:val="00DF431E"/>
    <w:rsid w:val="00DF4486"/>
    <w:rsid w:val="00DF5234"/>
    <w:rsid w:val="00DF5558"/>
    <w:rsid w:val="00DF73BC"/>
    <w:rsid w:val="00E016A6"/>
    <w:rsid w:val="00E021A4"/>
    <w:rsid w:val="00E03D63"/>
    <w:rsid w:val="00E044F8"/>
    <w:rsid w:val="00E04A31"/>
    <w:rsid w:val="00E06272"/>
    <w:rsid w:val="00E06741"/>
    <w:rsid w:val="00E10FE2"/>
    <w:rsid w:val="00E1194F"/>
    <w:rsid w:val="00E12116"/>
    <w:rsid w:val="00E1288A"/>
    <w:rsid w:val="00E139CA"/>
    <w:rsid w:val="00E14A4B"/>
    <w:rsid w:val="00E153FE"/>
    <w:rsid w:val="00E16160"/>
    <w:rsid w:val="00E16251"/>
    <w:rsid w:val="00E2072F"/>
    <w:rsid w:val="00E21B54"/>
    <w:rsid w:val="00E2470B"/>
    <w:rsid w:val="00E24B26"/>
    <w:rsid w:val="00E25281"/>
    <w:rsid w:val="00E25B51"/>
    <w:rsid w:val="00E27917"/>
    <w:rsid w:val="00E300F0"/>
    <w:rsid w:val="00E307D7"/>
    <w:rsid w:val="00E324BD"/>
    <w:rsid w:val="00E34690"/>
    <w:rsid w:val="00E355F4"/>
    <w:rsid w:val="00E35D89"/>
    <w:rsid w:val="00E36C42"/>
    <w:rsid w:val="00E401C2"/>
    <w:rsid w:val="00E42431"/>
    <w:rsid w:val="00E42FF6"/>
    <w:rsid w:val="00E43AB3"/>
    <w:rsid w:val="00E43D63"/>
    <w:rsid w:val="00E43E00"/>
    <w:rsid w:val="00E449D1"/>
    <w:rsid w:val="00E54317"/>
    <w:rsid w:val="00E548EE"/>
    <w:rsid w:val="00E54C7A"/>
    <w:rsid w:val="00E551FA"/>
    <w:rsid w:val="00E55484"/>
    <w:rsid w:val="00E55D62"/>
    <w:rsid w:val="00E563C0"/>
    <w:rsid w:val="00E5653C"/>
    <w:rsid w:val="00E56AB0"/>
    <w:rsid w:val="00E572E0"/>
    <w:rsid w:val="00E6123F"/>
    <w:rsid w:val="00E61C3F"/>
    <w:rsid w:val="00E625B9"/>
    <w:rsid w:val="00E63B15"/>
    <w:rsid w:val="00E65DE8"/>
    <w:rsid w:val="00E67A82"/>
    <w:rsid w:val="00E7097E"/>
    <w:rsid w:val="00E70AE1"/>
    <w:rsid w:val="00E70BA4"/>
    <w:rsid w:val="00E71797"/>
    <w:rsid w:val="00E71815"/>
    <w:rsid w:val="00E71F65"/>
    <w:rsid w:val="00E7320B"/>
    <w:rsid w:val="00E74E8A"/>
    <w:rsid w:val="00E75F7B"/>
    <w:rsid w:val="00E76CD0"/>
    <w:rsid w:val="00E80BAB"/>
    <w:rsid w:val="00E80E8C"/>
    <w:rsid w:val="00E814CA"/>
    <w:rsid w:val="00E8391E"/>
    <w:rsid w:val="00E84938"/>
    <w:rsid w:val="00E87F1B"/>
    <w:rsid w:val="00E95967"/>
    <w:rsid w:val="00E95AAA"/>
    <w:rsid w:val="00E979F1"/>
    <w:rsid w:val="00EA361A"/>
    <w:rsid w:val="00EB29C7"/>
    <w:rsid w:val="00EB2B81"/>
    <w:rsid w:val="00EB5A34"/>
    <w:rsid w:val="00EB659C"/>
    <w:rsid w:val="00EB7E2E"/>
    <w:rsid w:val="00EC1830"/>
    <w:rsid w:val="00EC1AA1"/>
    <w:rsid w:val="00EC1AD7"/>
    <w:rsid w:val="00EC1B06"/>
    <w:rsid w:val="00EC2BB7"/>
    <w:rsid w:val="00EC2C4F"/>
    <w:rsid w:val="00EC5142"/>
    <w:rsid w:val="00EC6B57"/>
    <w:rsid w:val="00EC7699"/>
    <w:rsid w:val="00EC7AB9"/>
    <w:rsid w:val="00EC7D81"/>
    <w:rsid w:val="00ED7585"/>
    <w:rsid w:val="00EE376E"/>
    <w:rsid w:val="00EE464B"/>
    <w:rsid w:val="00EE4AAB"/>
    <w:rsid w:val="00EF1B8C"/>
    <w:rsid w:val="00EF2CF2"/>
    <w:rsid w:val="00EF3A62"/>
    <w:rsid w:val="00EF46FA"/>
    <w:rsid w:val="00EF63FF"/>
    <w:rsid w:val="00F00119"/>
    <w:rsid w:val="00F02231"/>
    <w:rsid w:val="00F038C3"/>
    <w:rsid w:val="00F047C8"/>
    <w:rsid w:val="00F07149"/>
    <w:rsid w:val="00F07441"/>
    <w:rsid w:val="00F1428F"/>
    <w:rsid w:val="00F14C0A"/>
    <w:rsid w:val="00F2031D"/>
    <w:rsid w:val="00F20FE6"/>
    <w:rsid w:val="00F21E32"/>
    <w:rsid w:val="00F21E8B"/>
    <w:rsid w:val="00F26BF8"/>
    <w:rsid w:val="00F3299E"/>
    <w:rsid w:val="00F33371"/>
    <w:rsid w:val="00F349A9"/>
    <w:rsid w:val="00F34E36"/>
    <w:rsid w:val="00F34E56"/>
    <w:rsid w:val="00F3513B"/>
    <w:rsid w:val="00F373FC"/>
    <w:rsid w:val="00F40230"/>
    <w:rsid w:val="00F47796"/>
    <w:rsid w:val="00F47F8E"/>
    <w:rsid w:val="00F5117A"/>
    <w:rsid w:val="00F52FDD"/>
    <w:rsid w:val="00F5677D"/>
    <w:rsid w:val="00F56E54"/>
    <w:rsid w:val="00F57828"/>
    <w:rsid w:val="00F60EC2"/>
    <w:rsid w:val="00F61DE0"/>
    <w:rsid w:val="00F642D6"/>
    <w:rsid w:val="00F66852"/>
    <w:rsid w:val="00F67C61"/>
    <w:rsid w:val="00F72F9D"/>
    <w:rsid w:val="00F7458B"/>
    <w:rsid w:val="00F74930"/>
    <w:rsid w:val="00F75645"/>
    <w:rsid w:val="00F76CEB"/>
    <w:rsid w:val="00F77945"/>
    <w:rsid w:val="00F77BFD"/>
    <w:rsid w:val="00F811E5"/>
    <w:rsid w:val="00F81EE3"/>
    <w:rsid w:val="00F8386D"/>
    <w:rsid w:val="00F839B8"/>
    <w:rsid w:val="00F839C9"/>
    <w:rsid w:val="00F84850"/>
    <w:rsid w:val="00F90165"/>
    <w:rsid w:val="00F90CCA"/>
    <w:rsid w:val="00F910A7"/>
    <w:rsid w:val="00F91313"/>
    <w:rsid w:val="00F92C7C"/>
    <w:rsid w:val="00F93091"/>
    <w:rsid w:val="00F95206"/>
    <w:rsid w:val="00F95733"/>
    <w:rsid w:val="00F9615A"/>
    <w:rsid w:val="00F965B7"/>
    <w:rsid w:val="00F97377"/>
    <w:rsid w:val="00F97825"/>
    <w:rsid w:val="00FA1555"/>
    <w:rsid w:val="00FA238B"/>
    <w:rsid w:val="00FA46E3"/>
    <w:rsid w:val="00FA47A8"/>
    <w:rsid w:val="00FA59BC"/>
    <w:rsid w:val="00FA6A72"/>
    <w:rsid w:val="00FB0415"/>
    <w:rsid w:val="00FB3442"/>
    <w:rsid w:val="00FB4030"/>
    <w:rsid w:val="00FB4D97"/>
    <w:rsid w:val="00FB5D1D"/>
    <w:rsid w:val="00FB6DF5"/>
    <w:rsid w:val="00FB71B3"/>
    <w:rsid w:val="00FC20D5"/>
    <w:rsid w:val="00FC3DB5"/>
    <w:rsid w:val="00FC5822"/>
    <w:rsid w:val="00FC6B1F"/>
    <w:rsid w:val="00FC6C26"/>
    <w:rsid w:val="00FC6F18"/>
    <w:rsid w:val="00FC6FAD"/>
    <w:rsid w:val="00FD0845"/>
    <w:rsid w:val="00FD433A"/>
    <w:rsid w:val="00FD4C62"/>
    <w:rsid w:val="00FD6D11"/>
    <w:rsid w:val="00FD79FB"/>
    <w:rsid w:val="00FE099A"/>
    <w:rsid w:val="00FE325B"/>
    <w:rsid w:val="00FE38F7"/>
    <w:rsid w:val="00FE47C1"/>
    <w:rsid w:val="00FF02A5"/>
    <w:rsid w:val="00FF3D42"/>
    <w:rsid w:val="00FF6F0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b4b000,#919085,#f7d417,#b2b2b2,silver,#8f8a76,#a5a591"/>
    </o:shapedefaults>
    <o:shapelayout v:ext="edit">
      <o:idmap v:ext="edit" data="2"/>
    </o:shapelayout>
  </w:shapeDefaults>
  <w:decimalSymbol w:val=","/>
  <w:listSeparator w:val=";"/>
  <w14:docId w14:val="65295F27"/>
  <w15:chartTrackingRefBased/>
  <w15:docId w15:val="{5CB7706F-B306-4C4C-A0ED-14EEB810F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2EB1"/>
    <w:pPr>
      <w:spacing w:line="400" w:lineRule="atLeast"/>
    </w:pPr>
    <w:rPr>
      <w:rFonts w:ascii="Georgia" w:hAnsi="Georgia"/>
      <w:sz w:val="22"/>
      <w:szCs w:val="24"/>
    </w:rPr>
  </w:style>
  <w:style w:type="paragraph" w:styleId="Kop1">
    <w:name w:val="heading 1"/>
    <w:basedOn w:val="Standaard"/>
    <w:qFormat/>
    <w:rsid w:val="00032EB1"/>
    <w:pPr>
      <w:keepNext/>
      <w:spacing w:line="300" w:lineRule="atLeast"/>
      <w:outlineLvl w:val="0"/>
    </w:pPr>
    <w:rPr>
      <w:rFonts w:cs="Arial"/>
      <w:b/>
      <w:bCs/>
      <w:szCs w:val="32"/>
    </w:rPr>
  </w:style>
  <w:style w:type="paragraph" w:styleId="Kop2">
    <w:name w:val="heading 2"/>
    <w:basedOn w:val="Standaard"/>
    <w:qFormat/>
    <w:rsid w:val="00032EB1"/>
    <w:pPr>
      <w:keepNext/>
      <w:spacing w:line="300" w:lineRule="atLeast"/>
      <w:outlineLvl w:val="1"/>
    </w:pPr>
    <w:rPr>
      <w:rFonts w:cs="Arial"/>
      <w:b/>
      <w:bCs/>
      <w:iCs/>
      <w:sz w:val="18"/>
      <w:szCs w:val="28"/>
    </w:rPr>
  </w:style>
  <w:style w:type="paragraph" w:styleId="Kop3">
    <w:name w:val="heading 3"/>
    <w:basedOn w:val="Standaard"/>
    <w:qFormat/>
    <w:rsid w:val="00032EB1"/>
    <w:pPr>
      <w:keepNext/>
      <w:spacing w:line="200" w:lineRule="atLeast"/>
      <w:outlineLvl w:val="2"/>
    </w:pPr>
    <w:rPr>
      <w:rFonts w:cs="Arial"/>
      <w:b/>
      <w:bCs/>
      <w:sz w:val="14"/>
      <w:szCs w:val="26"/>
    </w:rPr>
  </w:style>
  <w:style w:type="paragraph" w:styleId="Kop4">
    <w:name w:val="heading 4"/>
    <w:basedOn w:val="Standaard"/>
    <w:next w:val="Standaard"/>
    <w:qFormat/>
    <w:pPr>
      <w:outlineLvl w:val="3"/>
    </w:pPr>
  </w:style>
  <w:style w:type="paragraph" w:styleId="Kop5">
    <w:name w:val="heading 5"/>
    <w:basedOn w:val="Standaard"/>
    <w:next w:val="Standaard"/>
    <w:qFormat/>
    <w:pPr>
      <w:outlineLvl w:val="4"/>
    </w:pPr>
  </w:style>
  <w:style w:type="paragraph" w:styleId="Kop6">
    <w:name w:val="heading 6"/>
    <w:basedOn w:val="Standaard"/>
    <w:next w:val="Standaard"/>
    <w:qFormat/>
    <w:pPr>
      <w:outlineLvl w:val="5"/>
    </w:pPr>
  </w:style>
  <w:style w:type="paragraph" w:styleId="Kop7">
    <w:name w:val="heading 7"/>
    <w:basedOn w:val="Standaard"/>
    <w:next w:val="Standaard"/>
    <w:qFormat/>
    <w:pPr>
      <w:outlineLvl w:val="6"/>
    </w:pPr>
  </w:style>
  <w:style w:type="paragraph" w:styleId="Kop8">
    <w:name w:val="heading 8"/>
    <w:basedOn w:val="Standaard"/>
    <w:next w:val="Standaard"/>
    <w:qFormat/>
    <w:pPr>
      <w:keepNext/>
      <w:outlineLvl w:val="7"/>
    </w:pPr>
    <w:rPr>
      <w:i/>
    </w:rPr>
  </w:style>
  <w:style w:type="paragraph" w:styleId="Kop9">
    <w:name w:val="heading 9"/>
    <w:basedOn w:val="Standaard"/>
    <w:next w:val="Standaard"/>
    <w:qFormat/>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lein12">
    <w:name w:val="Klein 12"/>
    <w:basedOn w:val="Standaard"/>
    <w:semiHidden/>
    <w:rsid w:val="00032EB1"/>
    <w:pPr>
      <w:spacing w:line="250" w:lineRule="atLeast"/>
    </w:pPr>
    <w:rPr>
      <w:sz w:val="18"/>
    </w:rPr>
  </w:style>
  <w:style w:type="paragraph" w:customStyle="1" w:styleId="Mini10">
    <w:name w:val="Mini 10"/>
    <w:basedOn w:val="Standaard"/>
    <w:link w:val="Mini10Zchn"/>
    <w:semiHidden/>
    <w:rsid w:val="00032EB1"/>
    <w:pPr>
      <w:spacing w:line="200" w:lineRule="atLeast"/>
    </w:pPr>
    <w:rPr>
      <w:sz w:val="14"/>
    </w:rPr>
  </w:style>
  <w:style w:type="character" w:styleId="Hyperlink">
    <w:name w:val="Hyperlink"/>
    <w:rsid w:val="00A22EA0"/>
    <w:rPr>
      <w:color w:val="0000FF"/>
      <w:u w:val="single"/>
    </w:rPr>
  </w:style>
  <w:style w:type="paragraph" w:customStyle="1" w:styleId="Klein15">
    <w:name w:val="Klein 15"/>
    <w:basedOn w:val="Standaard"/>
    <w:semiHidden/>
    <w:rsid w:val="00032EB1"/>
    <w:pPr>
      <w:spacing w:line="300" w:lineRule="atLeast"/>
    </w:pPr>
    <w:rPr>
      <w:sz w:val="18"/>
    </w:rPr>
  </w:style>
  <w:style w:type="paragraph" w:customStyle="1" w:styleId="Standard15">
    <w:name w:val="Standard 15"/>
    <w:basedOn w:val="Standaard"/>
    <w:semiHidden/>
    <w:rsid w:val="00032EB1"/>
    <w:pPr>
      <w:spacing w:line="300" w:lineRule="atLeast"/>
    </w:pPr>
  </w:style>
  <w:style w:type="paragraph" w:customStyle="1" w:styleId="berschrift220">
    <w:name w:val="Überschrift 2 20"/>
    <w:basedOn w:val="Kop2"/>
    <w:semiHidden/>
    <w:rsid w:val="00032EB1"/>
    <w:pPr>
      <w:spacing w:line="400" w:lineRule="atLeast"/>
    </w:pPr>
  </w:style>
  <w:style w:type="paragraph" w:styleId="Koptekst">
    <w:name w:val="header"/>
    <w:basedOn w:val="Mini10"/>
    <w:next w:val="Mini10"/>
    <w:semiHidden/>
    <w:rsid w:val="00032EB1"/>
    <w:pPr>
      <w:tabs>
        <w:tab w:val="center" w:pos="4536"/>
        <w:tab w:val="right" w:pos="9072"/>
      </w:tabs>
    </w:pPr>
  </w:style>
  <w:style w:type="paragraph" w:styleId="Voettekst">
    <w:name w:val="footer"/>
    <w:basedOn w:val="Mini10"/>
    <w:next w:val="Mini10"/>
    <w:rsid w:val="00032EB1"/>
    <w:pPr>
      <w:tabs>
        <w:tab w:val="center" w:pos="4536"/>
        <w:tab w:val="right" w:pos="9072"/>
      </w:tabs>
    </w:pPr>
  </w:style>
  <w:style w:type="paragraph" w:customStyle="1" w:styleId="Marginaltext">
    <w:name w:val="Marginaltext"/>
    <w:basedOn w:val="Standaard"/>
    <w:next w:val="Standaard"/>
    <w:semiHidden/>
    <w:rsid w:val="00032EB1"/>
    <w:pPr>
      <w:framePr w:w="2013" w:hSpace="249" w:wrap="around" w:vAnchor="text" w:hAnchor="page" w:xAlign="right" w:y="1"/>
      <w:spacing w:line="200" w:lineRule="atLeast"/>
    </w:pPr>
    <w:rPr>
      <w:sz w:val="14"/>
    </w:rPr>
  </w:style>
  <w:style w:type="table" w:styleId="Tabelraster">
    <w:name w:val="Table Grid"/>
    <w:basedOn w:val="Standaardtabel"/>
    <w:semiHidden/>
    <w:rsid w:val="00F92C7C"/>
    <w:pPr>
      <w:spacing w:line="4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Mini10"/>
    <w:next w:val="Mini10"/>
    <w:rsid w:val="00032EB1"/>
    <w:pPr>
      <w:ind w:left="284" w:hanging="284"/>
    </w:pPr>
    <w:rPr>
      <w:szCs w:val="20"/>
    </w:rPr>
  </w:style>
  <w:style w:type="character" w:styleId="Voetnootmarkering">
    <w:name w:val="footnote reference"/>
    <w:rsid w:val="00032EB1"/>
    <w:rPr>
      <w:vertAlign w:val="superscript"/>
    </w:rPr>
  </w:style>
  <w:style w:type="character" w:customStyle="1" w:styleId="Mini10Zchn">
    <w:name w:val="Mini 10 Zchn"/>
    <w:link w:val="Mini10"/>
    <w:rsid w:val="00032EB1"/>
    <w:rPr>
      <w:rFonts w:ascii="Georgia" w:hAnsi="Georgia"/>
      <w:sz w:val="14"/>
      <w:szCs w:val="24"/>
      <w:lang w:val="de-DE" w:eastAsia="de-DE" w:bidi="ar-SA"/>
    </w:rPr>
  </w:style>
  <w:style w:type="paragraph" w:customStyle="1" w:styleId="bKlein12">
    <w:name w:val="b.Klein 12"/>
    <w:rsid w:val="000E2588"/>
    <w:pPr>
      <w:spacing w:line="240" w:lineRule="atLeast"/>
    </w:pPr>
    <w:rPr>
      <w:rFonts w:ascii="Georgia" w:hAnsi="Georgia"/>
      <w:sz w:val="18"/>
      <w:szCs w:val="24"/>
    </w:rPr>
  </w:style>
  <w:style w:type="paragraph" w:customStyle="1" w:styleId="bKlein12Fett">
    <w:name w:val="b.Klein 12 Fett"/>
    <w:basedOn w:val="bKlein12"/>
    <w:rsid w:val="000E2588"/>
    <w:rPr>
      <w:b/>
    </w:rPr>
  </w:style>
  <w:style w:type="paragraph" w:customStyle="1" w:styleId="bKlein15">
    <w:name w:val="b.Klein 15"/>
    <w:rsid w:val="000E2588"/>
    <w:pPr>
      <w:spacing w:line="300" w:lineRule="atLeast"/>
    </w:pPr>
    <w:rPr>
      <w:rFonts w:ascii="Georgia" w:hAnsi="Georgia"/>
      <w:sz w:val="18"/>
      <w:szCs w:val="24"/>
    </w:rPr>
  </w:style>
  <w:style w:type="paragraph" w:customStyle="1" w:styleId="bKlein15Fett">
    <w:name w:val="b.Klein 15 Fett"/>
    <w:basedOn w:val="bKlein15"/>
    <w:rsid w:val="000E2588"/>
    <w:rPr>
      <w:b/>
    </w:rPr>
  </w:style>
  <w:style w:type="paragraph" w:customStyle="1" w:styleId="bMarginaltext">
    <w:name w:val="b.Marginaltext"/>
    <w:rsid w:val="000E2588"/>
    <w:pPr>
      <w:framePr w:w="2013" w:hSpace="249" w:wrap="around" w:vAnchor="text" w:hAnchor="page" w:xAlign="right" w:y="1"/>
      <w:spacing w:line="200" w:lineRule="atLeast"/>
    </w:pPr>
    <w:rPr>
      <w:rFonts w:ascii="Georgia" w:hAnsi="Georgia"/>
      <w:sz w:val="14"/>
      <w:szCs w:val="24"/>
    </w:rPr>
  </w:style>
  <w:style w:type="paragraph" w:customStyle="1" w:styleId="bMini10">
    <w:name w:val="b.Mini 10"/>
    <w:rsid w:val="000E2588"/>
    <w:pPr>
      <w:spacing w:line="200" w:lineRule="atLeast"/>
    </w:pPr>
    <w:rPr>
      <w:rFonts w:ascii="Georgia" w:hAnsi="Georgia"/>
      <w:sz w:val="14"/>
      <w:szCs w:val="24"/>
    </w:rPr>
  </w:style>
  <w:style w:type="paragraph" w:customStyle="1" w:styleId="bMini10Fett">
    <w:name w:val="b.Mini 10 Fett"/>
    <w:basedOn w:val="bMini10"/>
    <w:rsid w:val="000E2588"/>
    <w:rPr>
      <w:b/>
    </w:rPr>
  </w:style>
  <w:style w:type="paragraph" w:customStyle="1" w:styleId="bStandard15">
    <w:name w:val="b.Standard 15"/>
    <w:rsid w:val="000E2588"/>
    <w:pPr>
      <w:spacing w:line="300" w:lineRule="atLeast"/>
    </w:pPr>
    <w:rPr>
      <w:rFonts w:ascii="Georgia" w:hAnsi="Georgia"/>
      <w:sz w:val="22"/>
      <w:szCs w:val="24"/>
    </w:rPr>
  </w:style>
  <w:style w:type="paragraph" w:customStyle="1" w:styleId="bStandard15Fett">
    <w:name w:val="b.Standard 15 Fett"/>
    <w:basedOn w:val="bStandard15"/>
    <w:rsid w:val="000E2588"/>
    <w:rPr>
      <w:b/>
    </w:rPr>
  </w:style>
  <w:style w:type="paragraph" w:customStyle="1" w:styleId="bStandard20">
    <w:name w:val="b.Standard 20"/>
    <w:rsid w:val="000E2588"/>
    <w:pPr>
      <w:spacing w:line="400" w:lineRule="atLeast"/>
    </w:pPr>
    <w:rPr>
      <w:rFonts w:ascii="Georgia" w:hAnsi="Georgia"/>
      <w:sz w:val="22"/>
      <w:szCs w:val="24"/>
    </w:rPr>
  </w:style>
  <w:style w:type="paragraph" w:customStyle="1" w:styleId="bStandard20Fett">
    <w:name w:val="b.Standard 20 Fett"/>
    <w:basedOn w:val="bStandard20"/>
    <w:rsid w:val="000E2588"/>
    <w:rPr>
      <w:b/>
    </w:rPr>
  </w:style>
  <w:style w:type="character" w:styleId="Onopgelostemelding">
    <w:name w:val="Unresolved Mention"/>
    <w:basedOn w:val="Standaardalinea-lettertype"/>
    <w:uiPriority w:val="99"/>
    <w:semiHidden/>
    <w:unhideWhenUsed/>
    <w:rsid w:val="00A349F8"/>
    <w:rPr>
      <w:color w:val="605E5C"/>
      <w:shd w:val="clear" w:color="auto" w:fill="E1DFDD"/>
    </w:rPr>
  </w:style>
  <w:style w:type="paragraph" w:styleId="Revisie">
    <w:name w:val="Revision"/>
    <w:hidden/>
    <w:uiPriority w:val="99"/>
    <w:semiHidden/>
    <w:rsid w:val="009D00E5"/>
    <w:rPr>
      <w:rFonts w:ascii="Georgia" w:hAnsi="Georgia"/>
      <w:sz w:val="22"/>
      <w:szCs w:val="24"/>
    </w:rPr>
  </w:style>
  <w:style w:type="paragraph" w:styleId="Lijstopsomteken">
    <w:name w:val="List Bullet"/>
    <w:basedOn w:val="Standaard"/>
    <w:rsid w:val="00C2256F"/>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T:\BardehleOfficeVorlagen\BriefBo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BriefBogen</Template>
  <TotalTime>1</TotalTime>
  <Pages>6</Pages>
  <Words>1723</Words>
  <Characters>9480</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Patent- und Rechtsanwälte    Postfach 86 06 20    81633 München</vt:lpstr>
    </vt:vector>
  </TitlesOfParts>
  <Company>Bardehle Pagenberg</Company>
  <LinksUpToDate>false</LinksUpToDate>
  <CharactersWithSpaces>11181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Patent- und Rechtsanwälte    Postfach 86 06 20    81633 München</dc:title>
  <dc:subject/>
  <dc:creator>Michael Kobler</dc:creator>
  <cp:keywords/>
  <cp:lastModifiedBy>Ann van den Berg</cp:lastModifiedBy>
  <cp:revision>2</cp:revision>
  <cp:lastPrinted>2010-09-23T11:14:00Z</cp:lastPrinted>
  <dcterms:created xsi:type="dcterms:W3CDTF">2026-03-12T13:07:00Z</dcterms:created>
  <dcterms:modified xsi:type="dcterms:W3CDTF">2026-03-12T13:07:00Z</dcterms:modified>
</cp:coreProperties>
</file>