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732C0" w14:textId="77777777" w:rsidR="00001C1C" w:rsidRPr="005C7A32" w:rsidRDefault="00001C1C" w:rsidP="00773528">
      <w:pPr>
        <w:spacing w:after="0" w:line="312" w:lineRule="auto"/>
        <w:jc w:val="both"/>
        <w:rPr>
          <w:rFonts w:ascii="Arial" w:hAnsi="Arial" w:cs="Arial"/>
          <w:b/>
          <w:color w:val="000000"/>
          <w:sz w:val="24"/>
        </w:rPr>
      </w:pPr>
    </w:p>
    <w:p w14:paraId="22C2CFCF" w14:textId="77777777" w:rsidR="00001C1C" w:rsidRPr="005C7A32" w:rsidRDefault="00001C1C" w:rsidP="00773528">
      <w:pPr>
        <w:spacing w:after="0" w:line="312" w:lineRule="auto"/>
        <w:jc w:val="both"/>
        <w:rPr>
          <w:rFonts w:ascii="Arial" w:hAnsi="Arial" w:cs="Arial"/>
          <w:b/>
          <w:color w:val="000000"/>
          <w:sz w:val="24"/>
        </w:rPr>
      </w:pPr>
    </w:p>
    <w:p w14:paraId="26AB0CCC" w14:textId="7E11B3BD" w:rsidR="003744B6" w:rsidRDefault="000F388B">
      <w:pPr>
        <w:pBdr>
          <w:bottom w:val="single" w:sz="18" w:space="1" w:color="201C84"/>
        </w:pBdr>
        <w:spacing w:after="0" w:line="312" w:lineRule="auto"/>
        <w:jc w:val="both"/>
        <w:rPr>
          <w:rFonts w:ascii="Arial" w:hAnsi="Arial" w:cs="Arial"/>
          <w:bCs/>
          <w:color w:val="000000"/>
          <w:sz w:val="28"/>
          <w:lang w:val="en-GB"/>
        </w:rPr>
      </w:pPr>
      <w:r w:rsidRPr="00FC5742">
        <w:rPr>
          <w:rFonts w:ascii="Arial" w:hAnsi="Arial" w:cs="Arial"/>
          <w:bCs/>
          <w:color w:val="000000"/>
          <w:sz w:val="28"/>
          <w:lang w:val="en-GB"/>
        </w:rPr>
        <w:t xml:space="preserve">Court of Appeals of </w:t>
      </w:r>
      <w:r>
        <w:rPr>
          <w:rFonts w:ascii="Arial" w:hAnsi="Arial" w:cs="Arial"/>
          <w:bCs/>
          <w:color w:val="000000"/>
          <w:sz w:val="28"/>
          <w:lang w:val="en-GB"/>
        </w:rPr>
        <w:t xml:space="preserve">Madrid </w:t>
      </w:r>
      <w:r w:rsidR="00A15691">
        <w:rPr>
          <w:rFonts w:ascii="Arial" w:hAnsi="Arial" w:cs="Arial"/>
          <w:bCs/>
          <w:color w:val="000000"/>
          <w:sz w:val="28"/>
          <w:lang w:val="en-GB"/>
        </w:rPr>
        <w:t>(</w:t>
      </w:r>
      <w:r>
        <w:rPr>
          <w:rFonts w:ascii="Arial" w:hAnsi="Arial" w:cs="Arial"/>
          <w:bCs/>
          <w:color w:val="000000"/>
          <w:sz w:val="28"/>
          <w:lang w:val="en-GB"/>
        </w:rPr>
        <w:t>Section 32</w:t>
      </w:r>
      <w:r w:rsidR="00A15691">
        <w:rPr>
          <w:rFonts w:ascii="Arial" w:hAnsi="Arial" w:cs="Arial"/>
          <w:bCs/>
          <w:color w:val="000000"/>
          <w:sz w:val="28"/>
          <w:lang w:val="en-GB"/>
        </w:rPr>
        <w:t xml:space="preserve">) </w:t>
      </w:r>
      <w:r>
        <w:rPr>
          <w:rFonts w:ascii="Arial" w:hAnsi="Arial" w:cs="Arial"/>
          <w:bCs/>
          <w:color w:val="000000"/>
          <w:sz w:val="28"/>
          <w:lang w:val="en-GB"/>
        </w:rPr>
        <w:t xml:space="preserve">Judgment of 23 June 2023 </w:t>
      </w:r>
      <w:r w:rsidR="00A15691">
        <w:rPr>
          <w:rFonts w:ascii="Arial" w:hAnsi="Arial" w:cs="Arial"/>
          <w:bCs/>
          <w:color w:val="000000"/>
          <w:sz w:val="28"/>
          <w:lang w:val="en-GB"/>
        </w:rPr>
        <w:t xml:space="preserve">ELI LILLY &amp; DAICHI v TEVA &amp; CINFA - </w:t>
      </w:r>
      <w:r>
        <w:rPr>
          <w:rFonts w:ascii="Arial" w:hAnsi="Arial" w:cs="Arial"/>
          <w:bCs/>
          <w:color w:val="000000"/>
          <w:sz w:val="28"/>
          <w:lang w:val="en-GB"/>
        </w:rPr>
        <w:t>ECLI:E</w:t>
      </w:r>
      <w:r w:rsidR="00AE2402">
        <w:rPr>
          <w:rFonts w:ascii="Arial" w:hAnsi="Arial" w:cs="Arial"/>
          <w:bCs/>
          <w:color w:val="000000"/>
          <w:sz w:val="28"/>
          <w:lang w:val="en-GB"/>
        </w:rPr>
        <w:t>S</w:t>
      </w:r>
      <w:r>
        <w:rPr>
          <w:rFonts w:ascii="Arial" w:hAnsi="Arial" w:cs="Arial"/>
          <w:bCs/>
          <w:color w:val="000000"/>
          <w:sz w:val="28"/>
          <w:lang w:val="en-GB"/>
        </w:rPr>
        <w:t>:APM:2023:9288</w:t>
      </w:r>
    </w:p>
    <w:p w14:paraId="0B16A45C" w14:textId="77777777" w:rsidR="00204495" w:rsidRPr="00FC5742" w:rsidRDefault="00204495" w:rsidP="00773528">
      <w:pPr>
        <w:spacing w:after="0" w:line="312" w:lineRule="auto"/>
        <w:jc w:val="both"/>
        <w:rPr>
          <w:rFonts w:ascii="Arial" w:hAnsi="Arial" w:cs="Arial"/>
          <w:color w:val="000000"/>
          <w:lang w:val="en-GB"/>
        </w:rPr>
      </w:pPr>
    </w:p>
    <w:p w14:paraId="7EAC2460" w14:textId="1FE61FE0" w:rsidR="003744B6" w:rsidRPr="00B3314E" w:rsidRDefault="00FC5742">
      <w:pPr>
        <w:spacing w:after="0" w:line="312" w:lineRule="auto"/>
        <w:jc w:val="both"/>
        <w:rPr>
          <w:rFonts w:ascii="Arial" w:hAnsi="Arial" w:cs="Arial"/>
          <w:lang w:val="en-GB"/>
        </w:rPr>
      </w:pPr>
      <w:r w:rsidRPr="00B3314E">
        <w:rPr>
          <w:rFonts w:ascii="Arial" w:hAnsi="Arial" w:cs="Arial"/>
          <w:lang w:val="en-GB"/>
        </w:rPr>
        <w:t>The new section 32</w:t>
      </w:r>
      <w:r w:rsidR="00A041F2">
        <w:rPr>
          <w:rFonts w:ascii="Arial" w:hAnsi="Arial" w:cs="Arial"/>
          <w:lang w:val="en-GB"/>
        </w:rPr>
        <w:t>,</w:t>
      </w:r>
      <w:r w:rsidRPr="00B3314E">
        <w:rPr>
          <w:rFonts w:ascii="Arial" w:hAnsi="Arial" w:cs="Arial"/>
          <w:lang w:val="en-GB"/>
        </w:rPr>
        <w:t xml:space="preserve"> specialized in IP</w:t>
      </w:r>
      <w:r w:rsidR="00A041F2">
        <w:rPr>
          <w:rFonts w:ascii="Arial" w:hAnsi="Arial" w:cs="Arial"/>
          <w:lang w:val="en-GB"/>
        </w:rPr>
        <w:t>,</w:t>
      </w:r>
      <w:r w:rsidRPr="00B3314E">
        <w:rPr>
          <w:rFonts w:ascii="Arial" w:hAnsi="Arial" w:cs="Arial"/>
          <w:lang w:val="en-GB"/>
        </w:rPr>
        <w:t xml:space="preserve"> of the Madrid</w:t>
      </w:r>
      <w:r w:rsidR="007269A5">
        <w:rPr>
          <w:rFonts w:ascii="Arial" w:hAnsi="Arial" w:cs="Arial"/>
          <w:lang w:val="en-GB"/>
        </w:rPr>
        <w:t xml:space="preserve"> Court of Appeals</w:t>
      </w:r>
      <w:r w:rsidRPr="00B3314E">
        <w:rPr>
          <w:rFonts w:ascii="Arial" w:hAnsi="Arial" w:cs="Arial"/>
          <w:lang w:val="en-GB"/>
        </w:rPr>
        <w:t xml:space="preserve"> </w:t>
      </w:r>
      <w:r w:rsidR="007269A5" w:rsidRPr="00B3314E">
        <w:rPr>
          <w:rFonts w:ascii="Arial" w:hAnsi="Arial" w:cs="Arial"/>
          <w:lang w:val="en-GB"/>
        </w:rPr>
        <w:t>analyses</w:t>
      </w:r>
      <w:r w:rsidR="00D22CE3" w:rsidRPr="00B3314E">
        <w:rPr>
          <w:rFonts w:ascii="Arial" w:hAnsi="Arial" w:cs="Arial"/>
          <w:lang w:val="en-GB"/>
        </w:rPr>
        <w:t xml:space="preserve"> </w:t>
      </w:r>
      <w:r w:rsidRPr="00B3314E">
        <w:rPr>
          <w:rFonts w:ascii="Arial" w:hAnsi="Arial" w:cs="Arial"/>
          <w:lang w:val="en-GB"/>
        </w:rPr>
        <w:t xml:space="preserve">in this judgment </w:t>
      </w:r>
      <w:r w:rsidR="00A252DE" w:rsidRPr="00B3314E">
        <w:rPr>
          <w:rFonts w:ascii="Arial" w:hAnsi="Arial" w:cs="Arial"/>
          <w:lang w:val="en-GB"/>
        </w:rPr>
        <w:t xml:space="preserve">several procedural issues of interest </w:t>
      </w:r>
      <w:r w:rsidR="00BF1236" w:rsidRPr="00B3314E">
        <w:rPr>
          <w:rFonts w:ascii="Arial" w:hAnsi="Arial" w:cs="Arial"/>
          <w:lang w:val="en-GB"/>
        </w:rPr>
        <w:t>that often arise in patent infringement proceedings</w:t>
      </w:r>
      <w:r w:rsidR="00A252DE" w:rsidRPr="00B3314E">
        <w:rPr>
          <w:rFonts w:ascii="Arial" w:hAnsi="Arial" w:cs="Arial"/>
          <w:lang w:val="en-GB"/>
        </w:rPr>
        <w:t xml:space="preserve">, </w:t>
      </w:r>
      <w:r w:rsidRPr="00B3314E">
        <w:rPr>
          <w:rFonts w:ascii="Arial" w:hAnsi="Arial" w:cs="Arial"/>
          <w:lang w:val="en-GB"/>
        </w:rPr>
        <w:t xml:space="preserve">such as </w:t>
      </w:r>
      <w:r w:rsidR="00A252DE" w:rsidRPr="00B3314E">
        <w:rPr>
          <w:rFonts w:ascii="Arial" w:hAnsi="Arial" w:cs="Arial"/>
          <w:lang w:val="en-GB"/>
        </w:rPr>
        <w:t xml:space="preserve">the standing of the exclusive licensee plaintiff </w:t>
      </w:r>
      <w:r w:rsidR="00BF1236" w:rsidRPr="00B3314E">
        <w:rPr>
          <w:rFonts w:ascii="Arial" w:hAnsi="Arial" w:cs="Arial"/>
          <w:lang w:val="en-GB"/>
        </w:rPr>
        <w:t xml:space="preserve">or </w:t>
      </w:r>
      <w:r w:rsidR="00A252DE" w:rsidRPr="00B3314E">
        <w:rPr>
          <w:rFonts w:ascii="Arial" w:hAnsi="Arial" w:cs="Arial"/>
          <w:lang w:val="en-GB"/>
        </w:rPr>
        <w:t>the preclusion of actions for having previously brought a nullity action against the same patent before another court</w:t>
      </w:r>
      <w:r w:rsidR="00BF1236" w:rsidRPr="00B3314E">
        <w:rPr>
          <w:rFonts w:ascii="Arial" w:hAnsi="Arial" w:cs="Arial"/>
          <w:lang w:val="en-GB"/>
        </w:rPr>
        <w:t xml:space="preserve">. In </w:t>
      </w:r>
      <w:r w:rsidR="00A252DE" w:rsidRPr="00B3314E">
        <w:rPr>
          <w:rFonts w:ascii="Arial" w:hAnsi="Arial" w:cs="Arial"/>
          <w:lang w:val="en-GB"/>
        </w:rPr>
        <w:t xml:space="preserve">addition, the judgment addresses the liability for damages of the defendants TEVA and CINFA as the first </w:t>
      </w:r>
      <w:r w:rsidR="00C426B5" w:rsidRPr="007269A5">
        <w:rPr>
          <w:rFonts w:ascii="Arial" w:hAnsi="Arial" w:cs="Arial"/>
          <w:lang w:val="en-GB"/>
        </w:rPr>
        <w:t xml:space="preserve">laboratories to </w:t>
      </w:r>
      <w:r w:rsidR="007269A5" w:rsidRPr="007269A5">
        <w:rPr>
          <w:rFonts w:ascii="Arial" w:hAnsi="Arial" w:cs="Arial"/>
          <w:lang w:val="en-GB"/>
        </w:rPr>
        <w:t>launch</w:t>
      </w:r>
      <w:r w:rsidR="00C426B5" w:rsidRPr="007269A5">
        <w:rPr>
          <w:rFonts w:ascii="Arial" w:hAnsi="Arial" w:cs="Arial"/>
          <w:lang w:val="en-GB"/>
        </w:rPr>
        <w:t xml:space="preserve"> </w:t>
      </w:r>
      <w:r w:rsidR="007849A4" w:rsidRPr="007269A5">
        <w:rPr>
          <w:rFonts w:ascii="Arial" w:hAnsi="Arial" w:cs="Arial"/>
          <w:lang w:val="en-GB"/>
        </w:rPr>
        <w:t xml:space="preserve">"at risk" </w:t>
      </w:r>
      <w:r w:rsidR="00E00592" w:rsidRPr="007269A5">
        <w:rPr>
          <w:rFonts w:ascii="Arial" w:hAnsi="Arial" w:cs="Arial"/>
          <w:lang w:val="en-GB"/>
        </w:rPr>
        <w:t>with</w:t>
      </w:r>
      <w:r w:rsidR="00E00592">
        <w:rPr>
          <w:rFonts w:ascii="Arial" w:hAnsi="Arial" w:cs="Arial"/>
          <w:lang w:val="en-GB"/>
        </w:rPr>
        <w:t xml:space="preserve"> </w:t>
      </w:r>
      <w:r w:rsidR="00C426B5" w:rsidRPr="00B3314E">
        <w:rPr>
          <w:rFonts w:ascii="Arial" w:hAnsi="Arial" w:cs="Arial"/>
          <w:lang w:val="en-GB"/>
        </w:rPr>
        <w:t xml:space="preserve">their </w:t>
      </w:r>
      <w:r w:rsidR="005A0593" w:rsidRPr="00B3314E">
        <w:rPr>
          <w:rFonts w:ascii="Arial" w:hAnsi="Arial" w:cs="Arial"/>
          <w:lang w:val="en-GB"/>
        </w:rPr>
        <w:t xml:space="preserve">generic </w:t>
      </w:r>
      <w:r w:rsidR="00BF1236" w:rsidRPr="00B3314E">
        <w:rPr>
          <w:rFonts w:ascii="Arial" w:hAnsi="Arial" w:cs="Arial"/>
          <w:lang w:val="en-GB"/>
        </w:rPr>
        <w:t xml:space="preserve">(infringing) </w:t>
      </w:r>
      <w:r w:rsidR="005A0593" w:rsidRPr="00B3314E">
        <w:rPr>
          <w:rFonts w:ascii="Arial" w:hAnsi="Arial" w:cs="Arial"/>
          <w:lang w:val="en-GB"/>
        </w:rPr>
        <w:t>drugs</w:t>
      </w:r>
      <w:r w:rsidR="007849A4">
        <w:rPr>
          <w:rFonts w:ascii="Arial" w:hAnsi="Arial" w:cs="Arial"/>
          <w:lang w:val="en-GB"/>
        </w:rPr>
        <w:t>.</w:t>
      </w:r>
    </w:p>
    <w:p w14:paraId="2CFC779A" w14:textId="77777777" w:rsidR="008D482C" w:rsidRPr="00B3314E" w:rsidRDefault="008D482C" w:rsidP="008D482C">
      <w:pPr>
        <w:pBdr>
          <w:bottom w:val="single" w:sz="12" w:space="1" w:color="auto"/>
        </w:pBdr>
        <w:spacing w:after="0" w:line="312" w:lineRule="auto"/>
        <w:jc w:val="both"/>
        <w:rPr>
          <w:rFonts w:ascii="Arial" w:hAnsi="Arial" w:cs="Arial"/>
          <w:lang w:val="en-GB"/>
        </w:rPr>
      </w:pPr>
    </w:p>
    <w:p w14:paraId="6C852B2E" w14:textId="77777777" w:rsidR="00C426B5" w:rsidRPr="00B3314E" w:rsidRDefault="00C426B5" w:rsidP="008D482C">
      <w:pPr>
        <w:spacing w:after="0" w:line="312" w:lineRule="auto"/>
        <w:jc w:val="both"/>
        <w:rPr>
          <w:rFonts w:ascii="Arial" w:hAnsi="Arial" w:cs="Arial"/>
          <w:lang w:val="en-GB"/>
        </w:rPr>
      </w:pPr>
    </w:p>
    <w:p w14:paraId="4BD6748D" w14:textId="77777777" w:rsidR="003744B6" w:rsidRPr="00B3314E" w:rsidRDefault="000F388B">
      <w:pPr>
        <w:spacing w:after="0" w:line="312" w:lineRule="auto"/>
        <w:jc w:val="both"/>
        <w:rPr>
          <w:rFonts w:ascii="Arial" w:hAnsi="Arial" w:cs="Arial"/>
          <w:b/>
          <w:bCs/>
          <w:lang w:val="en-GB"/>
        </w:rPr>
      </w:pPr>
      <w:r w:rsidRPr="00B3314E">
        <w:rPr>
          <w:rFonts w:ascii="Arial" w:hAnsi="Arial" w:cs="Arial"/>
          <w:b/>
          <w:bCs/>
          <w:lang w:val="en-GB"/>
        </w:rPr>
        <w:t>Introductio</w:t>
      </w:r>
      <w:r w:rsidR="002F2A81" w:rsidRPr="00B3314E">
        <w:rPr>
          <w:rFonts w:ascii="Arial" w:hAnsi="Arial" w:cs="Arial"/>
          <w:b/>
          <w:bCs/>
          <w:lang w:val="en-GB"/>
        </w:rPr>
        <w:t xml:space="preserve">n </w:t>
      </w:r>
    </w:p>
    <w:p w14:paraId="7D423457" w14:textId="77777777" w:rsidR="002F2A81" w:rsidRPr="00B3314E" w:rsidRDefault="002F2A81" w:rsidP="004171A7">
      <w:pPr>
        <w:spacing w:after="0" w:line="312" w:lineRule="auto"/>
        <w:jc w:val="both"/>
        <w:rPr>
          <w:rFonts w:ascii="Arial" w:hAnsi="Arial" w:cs="Arial"/>
          <w:lang w:val="en-GB"/>
        </w:rPr>
      </w:pPr>
    </w:p>
    <w:p w14:paraId="6FDED5C1" w14:textId="1CDF8CE1"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The </w:t>
      </w:r>
      <w:r w:rsidR="00582B12">
        <w:rPr>
          <w:rFonts w:ascii="Arial" w:hAnsi="Arial" w:cs="Arial"/>
          <w:lang w:val="en-GB"/>
        </w:rPr>
        <w:t>plaintiff</w:t>
      </w:r>
      <w:r w:rsidRPr="00B3314E">
        <w:rPr>
          <w:rFonts w:ascii="Arial" w:hAnsi="Arial" w:cs="Arial"/>
          <w:lang w:val="en-GB"/>
        </w:rPr>
        <w:t xml:space="preserve"> </w:t>
      </w:r>
      <w:r w:rsidR="002F2A81" w:rsidRPr="00B3314E">
        <w:rPr>
          <w:rFonts w:ascii="Arial" w:hAnsi="Arial" w:cs="Arial"/>
          <w:lang w:val="en-GB"/>
        </w:rPr>
        <w:t xml:space="preserve">ELI LILLY AND COMPANY is the </w:t>
      </w:r>
      <w:r w:rsidR="00EF057E">
        <w:rPr>
          <w:rFonts w:ascii="Arial" w:hAnsi="Arial" w:cs="Arial"/>
          <w:lang w:val="en-GB"/>
        </w:rPr>
        <w:t>owner</w:t>
      </w:r>
      <w:r w:rsidR="002F2A81" w:rsidRPr="00B3314E">
        <w:rPr>
          <w:rFonts w:ascii="Arial" w:hAnsi="Arial" w:cs="Arial"/>
          <w:lang w:val="en-GB"/>
        </w:rPr>
        <w:t xml:space="preserve"> of patent ES2102602</w:t>
      </w:r>
      <w:r w:rsidR="00511F62">
        <w:rPr>
          <w:rFonts w:ascii="Arial" w:hAnsi="Arial" w:cs="Arial"/>
          <w:lang w:val="en-GB"/>
        </w:rPr>
        <w:t>, the</w:t>
      </w:r>
      <w:r w:rsidR="002F2A81" w:rsidRPr="00B3314E">
        <w:rPr>
          <w:rFonts w:ascii="Arial" w:hAnsi="Arial" w:cs="Arial"/>
          <w:lang w:val="en-GB"/>
        </w:rPr>
        <w:t xml:space="preserve"> Spanish validation of </w:t>
      </w:r>
      <w:r w:rsidR="00FC5742" w:rsidRPr="00B3314E">
        <w:rPr>
          <w:rFonts w:ascii="Arial" w:hAnsi="Arial" w:cs="Arial"/>
          <w:lang w:val="en-GB"/>
        </w:rPr>
        <w:t>European patent EP0584952</w:t>
      </w:r>
      <w:r w:rsidR="00511F62">
        <w:rPr>
          <w:rFonts w:ascii="Arial" w:hAnsi="Arial" w:cs="Arial"/>
          <w:lang w:val="en-GB"/>
        </w:rPr>
        <w:t>,</w:t>
      </w:r>
      <w:r w:rsidR="00FC5742" w:rsidRPr="00B3314E">
        <w:rPr>
          <w:rFonts w:ascii="Arial" w:hAnsi="Arial" w:cs="Arial"/>
          <w:lang w:val="en-GB"/>
        </w:rPr>
        <w:t xml:space="preserve"> </w:t>
      </w:r>
      <w:r w:rsidR="00511F62">
        <w:rPr>
          <w:rFonts w:ascii="Arial" w:hAnsi="Arial" w:cs="Arial"/>
          <w:lang w:val="en-GB"/>
        </w:rPr>
        <w:t>whose</w:t>
      </w:r>
      <w:r w:rsidR="002F2A81" w:rsidRPr="00B3314E">
        <w:rPr>
          <w:rFonts w:ascii="Arial" w:hAnsi="Arial" w:cs="Arial"/>
          <w:lang w:val="en-GB"/>
        </w:rPr>
        <w:t xml:space="preserve"> object </w:t>
      </w:r>
      <w:r w:rsidR="00511F62">
        <w:rPr>
          <w:rFonts w:ascii="Arial" w:hAnsi="Arial" w:cs="Arial"/>
          <w:lang w:val="en-GB"/>
        </w:rPr>
        <w:t xml:space="preserve">is </w:t>
      </w:r>
      <w:r w:rsidR="002F2A81" w:rsidRPr="00B3314E">
        <w:rPr>
          <w:rFonts w:ascii="Arial" w:hAnsi="Arial" w:cs="Arial"/>
          <w:lang w:val="en-GB"/>
        </w:rPr>
        <w:t>the use of the active ingredient raloxifene and its pharmaceutically</w:t>
      </w:r>
      <w:r w:rsidR="008566BF">
        <w:rPr>
          <w:rFonts w:ascii="Arial" w:hAnsi="Arial" w:cs="Arial"/>
          <w:lang w:val="en-GB"/>
        </w:rPr>
        <w:t>-</w:t>
      </w:r>
      <w:r w:rsidR="002F2A81" w:rsidRPr="00B3314E">
        <w:rPr>
          <w:rFonts w:ascii="Arial" w:hAnsi="Arial" w:cs="Arial"/>
          <w:lang w:val="en-GB"/>
        </w:rPr>
        <w:t xml:space="preserve">acceptable salts in the preparation of a </w:t>
      </w:r>
      <w:r w:rsidR="00A61872">
        <w:rPr>
          <w:rFonts w:ascii="Arial" w:hAnsi="Arial" w:cs="Arial"/>
          <w:lang w:val="en-GB"/>
        </w:rPr>
        <w:t>drug</w:t>
      </w:r>
      <w:r w:rsidR="002F2A81" w:rsidRPr="00B3314E">
        <w:rPr>
          <w:rFonts w:ascii="Arial" w:hAnsi="Arial" w:cs="Arial"/>
          <w:lang w:val="en-GB"/>
        </w:rPr>
        <w:t xml:space="preserve"> </w:t>
      </w:r>
      <w:r w:rsidR="00A61872">
        <w:rPr>
          <w:rFonts w:ascii="Arial" w:hAnsi="Arial" w:cs="Arial"/>
          <w:lang w:val="en-GB"/>
        </w:rPr>
        <w:t>that is helpful</w:t>
      </w:r>
      <w:r w:rsidR="002F2A81" w:rsidRPr="00B3314E">
        <w:rPr>
          <w:rFonts w:ascii="Arial" w:hAnsi="Arial" w:cs="Arial"/>
          <w:lang w:val="en-GB"/>
        </w:rPr>
        <w:t xml:space="preserve"> in the treatment and prevention of osteoporosis, </w:t>
      </w:r>
      <w:r w:rsidR="00C73441" w:rsidRPr="00B3314E">
        <w:rPr>
          <w:rFonts w:ascii="Arial" w:hAnsi="Arial" w:cs="Arial"/>
          <w:lang w:val="en-GB"/>
        </w:rPr>
        <w:t xml:space="preserve">and </w:t>
      </w:r>
      <w:r w:rsidR="00FC5742" w:rsidRPr="00B3314E">
        <w:rPr>
          <w:rFonts w:ascii="Arial" w:hAnsi="Arial" w:cs="Arial"/>
          <w:lang w:val="en-GB"/>
        </w:rPr>
        <w:t xml:space="preserve">of </w:t>
      </w:r>
      <w:r w:rsidR="002F2A81" w:rsidRPr="00B3314E">
        <w:rPr>
          <w:rFonts w:ascii="Arial" w:hAnsi="Arial" w:cs="Arial"/>
          <w:lang w:val="en-GB"/>
        </w:rPr>
        <w:t xml:space="preserve">SPC </w:t>
      </w:r>
      <w:r w:rsidR="00FC5742" w:rsidRPr="00B3314E">
        <w:rPr>
          <w:rFonts w:ascii="Arial" w:hAnsi="Arial" w:cs="Arial"/>
          <w:lang w:val="en-GB"/>
        </w:rPr>
        <w:t xml:space="preserve">No. 00990002 </w:t>
      </w:r>
      <w:r w:rsidR="002F2A81" w:rsidRPr="00B3314E">
        <w:rPr>
          <w:rFonts w:ascii="Arial" w:hAnsi="Arial" w:cs="Arial"/>
          <w:lang w:val="en-GB"/>
        </w:rPr>
        <w:t>granted on the basis of that patent (</w:t>
      </w:r>
      <w:r w:rsidR="00FC5742" w:rsidRPr="00B3314E">
        <w:rPr>
          <w:rFonts w:ascii="Arial" w:hAnsi="Arial" w:cs="Arial"/>
          <w:lang w:val="en-GB"/>
        </w:rPr>
        <w:t>expiration date</w:t>
      </w:r>
      <w:r w:rsidR="002F2A81" w:rsidRPr="00B3314E">
        <w:rPr>
          <w:rFonts w:ascii="Arial" w:hAnsi="Arial" w:cs="Arial"/>
          <w:lang w:val="en-GB"/>
        </w:rPr>
        <w:t xml:space="preserve">: </w:t>
      </w:r>
      <w:r w:rsidR="00FC5742" w:rsidRPr="00B3314E">
        <w:rPr>
          <w:rFonts w:ascii="Arial" w:hAnsi="Arial" w:cs="Arial"/>
          <w:lang w:val="en-GB"/>
        </w:rPr>
        <w:t xml:space="preserve">July </w:t>
      </w:r>
      <w:r w:rsidR="002F2A81" w:rsidRPr="00B3314E">
        <w:rPr>
          <w:rFonts w:ascii="Arial" w:hAnsi="Arial" w:cs="Arial"/>
          <w:lang w:val="en-GB"/>
        </w:rPr>
        <w:t>28, 2012)</w:t>
      </w:r>
      <w:r w:rsidR="00A34B74">
        <w:rPr>
          <w:rFonts w:ascii="Arial" w:hAnsi="Arial" w:cs="Arial"/>
          <w:lang w:val="en-GB"/>
        </w:rPr>
        <w:t>,</w:t>
      </w:r>
      <w:r w:rsidR="002F2A81" w:rsidRPr="00B3314E">
        <w:rPr>
          <w:rFonts w:ascii="Arial" w:hAnsi="Arial" w:cs="Arial"/>
          <w:lang w:val="en-GB"/>
        </w:rPr>
        <w:t xml:space="preserve"> </w:t>
      </w:r>
      <w:r w:rsidR="00EE09AC" w:rsidRPr="00B3314E">
        <w:rPr>
          <w:rFonts w:ascii="Arial" w:hAnsi="Arial" w:cs="Arial"/>
          <w:lang w:val="en-GB"/>
        </w:rPr>
        <w:t xml:space="preserve">which </w:t>
      </w:r>
      <w:r w:rsidR="002F2A81" w:rsidRPr="00B3314E">
        <w:rPr>
          <w:rFonts w:ascii="Arial" w:hAnsi="Arial" w:cs="Arial"/>
          <w:lang w:val="en-GB"/>
        </w:rPr>
        <w:t xml:space="preserve">extended its term until </w:t>
      </w:r>
      <w:r w:rsidR="00FC5742" w:rsidRPr="00B3314E">
        <w:rPr>
          <w:rFonts w:ascii="Arial" w:hAnsi="Arial" w:cs="Arial"/>
          <w:lang w:val="en-GB"/>
        </w:rPr>
        <w:t xml:space="preserve">August </w:t>
      </w:r>
      <w:r w:rsidR="002F2A81" w:rsidRPr="00B3314E">
        <w:rPr>
          <w:rFonts w:ascii="Arial" w:hAnsi="Arial" w:cs="Arial"/>
          <w:lang w:val="en-GB"/>
        </w:rPr>
        <w:t>5</w:t>
      </w:r>
      <w:r w:rsidR="00FC5742" w:rsidRPr="00B3314E">
        <w:rPr>
          <w:rFonts w:ascii="Arial" w:hAnsi="Arial" w:cs="Arial"/>
          <w:lang w:val="en-GB"/>
        </w:rPr>
        <w:t>, 2013</w:t>
      </w:r>
      <w:r w:rsidR="002F2A81" w:rsidRPr="00B3314E">
        <w:rPr>
          <w:rFonts w:ascii="Arial" w:hAnsi="Arial" w:cs="Arial"/>
          <w:lang w:val="en-GB"/>
        </w:rPr>
        <w:t xml:space="preserve">. </w:t>
      </w:r>
    </w:p>
    <w:p w14:paraId="52BB3989" w14:textId="77777777" w:rsidR="00BC098D" w:rsidRPr="00B3314E" w:rsidRDefault="00BC098D" w:rsidP="004171A7">
      <w:pPr>
        <w:spacing w:after="0" w:line="312" w:lineRule="auto"/>
        <w:jc w:val="both"/>
        <w:rPr>
          <w:rFonts w:ascii="Arial" w:hAnsi="Arial" w:cs="Arial"/>
          <w:lang w:val="en-GB"/>
        </w:rPr>
      </w:pPr>
    </w:p>
    <w:p w14:paraId="739B1050" w14:textId="77777777"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The </w:t>
      </w:r>
      <w:r w:rsidR="00C73441" w:rsidRPr="00B3314E">
        <w:rPr>
          <w:rFonts w:ascii="Arial" w:hAnsi="Arial" w:cs="Arial"/>
          <w:lang w:val="en-GB"/>
        </w:rPr>
        <w:t>co-plaintiff</w:t>
      </w:r>
      <w:r w:rsidRPr="00B3314E">
        <w:rPr>
          <w:rFonts w:ascii="Arial" w:hAnsi="Arial" w:cs="Arial"/>
          <w:lang w:val="en-GB"/>
        </w:rPr>
        <w:t xml:space="preserve">, </w:t>
      </w:r>
      <w:r w:rsidR="002F2A81" w:rsidRPr="00B3314E">
        <w:rPr>
          <w:rFonts w:ascii="Arial" w:hAnsi="Arial" w:cs="Arial"/>
          <w:lang w:val="en-GB"/>
        </w:rPr>
        <w:t>DAIICHI SANKYO EUROPE GmbH</w:t>
      </w:r>
      <w:r w:rsidRPr="00B3314E">
        <w:rPr>
          <w:rFonts w:ascii="Arial" w:hAnsi="Arial" w:cs="Arial"/>
          <w:lang w:val="en-GB"/>
        </w:rPr>
        <w:t xml:space="preserve">, the </w:t>
      </w:r>
      <w:r w:rsidR="002F2A81" w:rsidRPr="00B3314E">
        <w:rPr>
          <w:rFonts w:ascii="Arial" w:hAnsi="Arial" w:cs="Arial"/>
          <w:lang w:val="en-GB"/>
        </w:rPr>
        <w:t xml:space="preserve">exclusive licensee </w:t>
      </w:r>
      <w:r w:rsidRPr="00B3314E">
        <w:rPr>
          <w:rFonts w:ascii="Arial" w:hAnsi="Arial" w:cs="Arial"/>
          <w:lang w:val="en-GB"/>
        </w:rPr>
        <w:t>of these titles</w:t>
      </w:r>
      <w:r w:rsidR="002F2A81" w:rsidRPr="00B3314E">
        <w:rPr>
          <w:rFonts w:ascii="Arial" w:hAnsi="Arial" w:cs="Arial"/>
          <w:lang w:val="en-GB"/>
        </w:rPr>
        <w:t xml:space="preserve">, </w:t>
      </w:r>
      <w:r w:rsidRPr="00B3314E">
        <w:rPr>
          <w:rFonts w:ascii="Arial" w:hAnsi="Arial" w:cs="Arial"/>
          <w:lang w:val="en-GB"/>
        </w:rPr>
        <w:t xml:space="preserve">marketed </w:t>
      </w:r>
      <w:r w:rsidR="002F2A81" w:rsidRPr="00B3314E">
        <w:rPr>
          <w:rFonts w:ascii="Arial" w:hAnsi="Arial" w:cs="Arial"/>
          <w:lang w:val="en-GB"/>
        </w:rPr>
        <w:t>the Raloxifene drugs in Spain under the brand name EVISTA® through its Spanish subsidiary DAIICHI SANKYO ESPAÑA S.A.</w:t>
      </w:r>
    </w:p>
    <w:p w14:paraId="1ECDBB36" w14:textId="77777777" w:rsidR="002F2A81" w:rsidRPr="00B3314E" w:rsidRDefault="002F2A81" w:rsidP="004171A7">
      <w:pPr>
        <w:spacing w:after="0" w:line="312" w:lineRule="auto"/>
        <w:jc w:val="both"/>
        <w:rPr>
          <w:rFonts w:ascii="Arial" w:hAnsi="Arial" w:cs="Arial"/>
          <w:lang w:val="en-GB"/>
        </w:rPr>
      </w:pPr>
    </w:p>
    <w:p w14:paraId="5593BAB1" w14:textId="79090744"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More specifically, </w:t>
      </w:r>
      <w:r w:rsidR="00BF1236" w:rsidRPr="00B3314E">
        <w:rPr>
          <w:rFonts w:ascii="Arial" w:hAnsi="Arial" w:cs="Arial"/>
          <w:lang w:val="en-GB"/>
        </w:rPr>
        <w:t xml:space="preserve">ELI </w:t>
      </w:r>
      <w:r w:rsidRPr="00B3314E">
        <w:rPr>
          <w:rFonts w:ascii="Arial" w:hAnsi="Arial" w:cs="Arial"/>
          <w:lang w:val="en-GB"/>
        </w:rPr>
        <w:t xml:space="preserve">LILLY </w:t>
      </w:r>
      <w:r w:rsidR="007269A5">
        <w:rPr>
          <w:rFonts w:ascii="Arial" w:hAnsi="Arial" w:cs="Arial"/>
          <w:lang w:val="en-GB"/>
        </w:rPr>
        <w:t>was marketing</w:t>
      </w:r>
      <w:r w:rsidRPr="00B3314E">
        <w:rPr>
          <w:rFonts w:ascii="Arial" w:hAnsi="Arial" w:cs="Arial"/>
          <w:lang w:val="en-GB"/>
        </w:rPr>
        <w:t xml:space="preserve"> Raloxifene drugs </w:t>
      </w:r>
      <w:r w:rsidR="00BF1236" w:rsidRPr="00B3314E">
        <w:rPr>
          <w:rFonts w:ascii="Arial" w:hAnsi="Arial" w:cs="Arial"/>
          <w:lang w:val="en-GB"/>
        </w:rPr>
        <w:t xml:space="preserve">in Spain through </w:t>
      </w:r>
      <w:r w:rsidR="002F2A81" w:rsidRPr="00B3314E">
        <w:rPr>
          <w:rFonts w:ascii="Arial" w:hAnsi="Arial" w:cs="Arial"/>
          <w:lang w:val="en-GB"/>
        </w:rPr>
        <w:t>two different companies</w:t>
      </w:r>
      <w:r w:rsidRPr="00B3314E">
        <w:rPr>
          <w:rFonts w:ascii="Arial" w:hAnsi="Arial" w:cs="Arial"/>
          <w:lang w:val="en-GB"/>
        </w:rPr>
        <w:t xml:space="preserve">, </w:t>
      </w:r>
      <w:r w:rsidR="002F2A81" w:rsidRPr="00B3314E">
        <w:rPr>
          <w:rFonts w:ascii="Arial" w:hAnsi="Arial" w:cs="Arial"/>
          <w:lang w:val="en-GB"/>
        </w:rPr>
        <w:t>under two different brand names: on the one hand</w:t>
      </w:r>
      <w:r w:rsidR="007C7007" w:rsidRPr="00B3314E">
        <w:rPr>
          <w:rFonts w:ascii="Arial" w:hAnsi="Arial" w:cs="Arial"/>
          <w:lang w:val="en-GB"/>
        </w:rPr>
        <w:t xml:space="preserve">, </w:t>
      </w:r>
      <w:r w:rsidR="002F2A81" w:rsidRPr="00B3314E">
        <w:rPr>
          <w:rFonts w:ascii="Arial" w:hAnsi="Arial" w:cs="Arial"/>
          <w:lang w:val="en-GB"/>
        </w:rPr>
        <w:t xml:space="preserve">DAIICHI </w:t>
      </w:r>
      <w:r w:rsidRPr="00B3314E">
        <w:rPr>
          <w:rFonts w:ascii="Arial" w:hAnsi="Arial" w:cs="Arial"/>
          <w:lang w:val="en-GB"/>
        </w:rPr>
        <w:t>market</w:t>
      </w:r>
      <w:r w:rsidR="007269A5">
        <w:rPr>
          <w:rFonts w:ascii="Arial" w:hAnsi="Arial" w:cs="Arial"/>
          <w:lang w:val="en-GB"/>
        </w:rPr>
        <w:t>ed</w:t>
      </w:r>
      <w:r w:rsidRPr="00B3314E">
        <w:rPr>
          <w:rFonts w:ascii="Arial" w:hAnsi="Arial" w:cs="Arial"/>
          <w:lang w:val="en-GB"/>
        </w:rPr>
        <w:t xml:space="preserve"> it as EVISTA® </w:t>
      </w:r>
      <w:r w:rsidR="002F2A81" w:rsidRPr="00B3314E">
        <w:rPr>
          <w:rFonts w:ascii="Arial" w:hAnsi="Arial" w:cs="Arial"/>
          <w:lang w:val="en-GB"/>
        </w:rPr>
        <w:t>and</w:t>
      </w:r>
      <w:r w:rsidR="007C7007" w:rsidRPr="00B3314E">
        <w:rPr>
          <w:rFonts w:ascii="Arial" w:hAnsi="Arial" w:cs="Arial"/>
          <w:lang w:val="en-GB"/>
        </w:rPr>
        <w:t xml:space="preserve">, </w:t>
      </w:r>
      <w:r w:rsidR="002F2A81" w:rsidRPr="00B3314E">
        <w:rPr>
          <w:rFonts w:ascii="Arial" w:hAnsi="Arial" w:cs="Arial"/>
          <w:lang w:val="en-GB"/>
        </w:rPr>
        <w:t>on the other</w:t>
      </w:r>
      <w:r w:rsidR="007C7007" w:rsidRPr="00B3314E">
        <w:rPr>
          <w:rFonts w:ascii="Arial" w:hAnsi="Arial" w:cs="Arial"/>
          <w:lang w:val="en-GB"/>
        </w:rPr>
        <w:t xml:space="preserve">, </w:t>
      </w:r>
      <w:r w:rsidRPr="00B3314E">
        <w:rPr>
          <w:rFonts w:ascii="Arial" w:hAnsi="Arial" w:cs="Arial"/>
          <w:lang w:val="en-GB"/>
        </w:rPr>
        <w:t xml:space="preserve">LABORATORIOS </w:t>
      </w:r>
      <w:r w:rsidR="002F2A81" w:rsidRPr="00B3314E">
        <w:rPr>
          <w:rFonts w:ascii="Arial" w:hAnsi="Arial" w:cs="Arial"/>
          <w:lang w:val="en-GB"/>
        </w:rPr>
        <w:t xml:space="preserve">ESTEVE under the brand name OPTRUMA®, </w:t>
      </w:r>
      <w:r w:rsidRPr="00B3314E">
        <w:rPr>
          <w:rFonts w:ascii="Arial" w:hAnsi="Arial" w:cs="Arial"/>
          <w:lang w:val="en-GB"/>
        </w:rPr>
        <w:t xml:space="preserve">as </w:t>
      </w:r>
      <w:r w:rsidR="00A34B74">
        <w:rPr>
          <w:rFonts w:ascii="Arial" w:hAnsi="Arial" w:cs="Arial"/>
          <w:lang w:val="en-GB"/>
        </w:rPr>
        <w:t xml:space="preserve">the </w:t>
      </w:r>
      <w:r w:rsidR="002F2A81" w:rsidRPr="00B3314E">
        <w:rPr>
          <w:rFonts w:ascii="Arial" w:hAnsi="Arial" w:cs="Arial"/>
          <w:lang w:val="en-GB"/>
        </w:rPr>
        <w:t xml:space="preserve">distributor of </w:t>
      </w:r>
      <w:r w:rsidR="00BF1236" w:rsidRPr="00B3314E">
        <w:rPr>
          <w:rFonts w:ascii="Arial" w:hAnsi="Arial" w:cs="Arial"/>
          <w:lang w:val="en-GB"/>
        </w:rPr>
        <w:t xml:space="preserve">ELI </w:t>
      </w:r>
      <w:r w:rsidR="002F2A81" w:rsidRPr="00B3314E">
        <w:rPr>
          <w:rFonts w:ascii="Arial" w:hAnsi="Arial" w:cs="Arial"/>
          <w:lang w:val="en-GB"/>
        </w:rPr>
        <w:t>LILLY.</w:t>
      </w:r>
    </w:p>
    <w:p w14:paraId="1F6DFB5C" w14:textId="77777777" w:rsidR="002F2A81" w:rsidRPr="00B3314E" w:rsidRDefault="002F2A81" w:rsidP="004171A7">
      <w:pPr>
        <w:spacing w:after="0" w:line="312" w:lineRule="auto"/>
        <w:jc w:val="both"/>
        <w:rPr>
          <w:rFonts w:ascii="Arial" w:hAnsi="Arial" w:cs="Arial"/>
          <w:lang w:val="en-GB"/>
        </w:rPr>
      </w:pPr>
    </w:p>
    <w:p w14:paraId="5950B0D7" w14:textId="7D8A3742"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TEVA was the first </w:t>
      </w:r>
      <w:r w:rsidR="007E4D10" w:rsidRPr="00B3314E">
        <w:rPr>
          <w:rFonts w:ascii="Arial" w:hAnsi="Arial" w:cs="Arial"/>
          <w:lang w:val="en-GB"/>
        </w:rPr>
        <w:t xml:space="preserve">pharmaceutical </w:t>
      </w:r>
      <w:r w:rsidRPr="00B3314E">
        <w:rPr>
          <w:rFonts w:ascii="Arial" w:hAnsi="Arial" w:cs="Arial"/>
          <w:lang w:val="en-GB"/>
        </w:rPr>
        <w:t xml:space="preserve">laboratory to launch </w:t>
      </w:r>
      <w:r w:rsidR="00EE09AC" w:rsidRPr="00B3314E">
        <w:rPr>
          <w:rFonts w:ascii="Arial" w:hAnsi="Arial" w:cs="Arial"/>
          <w:lang w:val="en-GB"/>
        </w:rPr>
        <w:t xml:space="preserve">its generic Raloxifene drug </w:t>
      </w:r>
      <w:r w:rsidR="000734D5">
        <w:rPr>
          <w:rFonts w:ascii="Arial" w:hAnsi="Arial" w:cs="Arial"/>
          <w:lang w:val="en-GB"/>
        </w:rPr>
        <w:t>into</w:t>
      </w:r>
      <w:r w:rsidRPr="00B3314E">
        <w:rPr>
          <w:rFonts w:ascii="Arial" w:hAnsi="Arial" w:cs="Arial"/>
          <w:lang w:val="en-GB"/>
        </w:rPr>
        <w:t xml:space="preserve"> the </w:t>
      </w:r>
      <w:r w:rsidR="00EE09AC" w:rsidRPr="00B3314E">
        <w:rPr>
          <w:rFonts w:ascii="Arial" w:hAnsi="Arial" w:cs="Arial"/>
          <w:lang w:val="en-GB"/>
        </w:rPr>
        <w:t xml:space="preserve">Spanish </w:t>
      </w:r>
      <w:r w:rsidRPr="00B3314E">
        <w:rPr>
          <w:rFonts w:ascii="Arial" w:hAnsi="Arial" w:cs="Arial"/>
          <w:lang w:val="en-GB"/>
        </w:rPr>
        <w:t>market in May 2011</w:t>
      </w:r>
      <w:r w:rsidR="00EE09AC" w:rsidRPr="00B3314E">
        <w:rPr>
          <w:rFonts w:ascii="Arial" w:hAnsi="Arial" w:cs="Arial"/>
          <w:lang w:val="en-GB"/>
        </w:rPr>
        <w:t xml:space="preserve">, </w:t>
      </w:r>
      <w:r w:rsidR="00E60C5F">
        <w:rPr>
          <w:rFonts w:ascii="Arial" w:hAnsi="Arial" w:cs="Arial"/>
          <w:lang w:val="en-GB"/>
        </w:rPr>
        <w:t xml:space="preserve">that is, </w:t>
      </w:r>
      <w:r w:rsidRPr="00B3314E">
        <w:rPr>
          <w:rFonts w:ascii="Arial" w:hAnsi="Arial" w:cs="Arial"/>
          <w:lang w:val="en-GB"/>
        </w:rPr>
        <w:t xml:space="preserve">two years before the expiration of the patent and </w:t>
      </w:r>
      <w:r w:rsidR="000734D5">
        <w:rPr>
          <w:rFonts w:ascii="Arial" w:hAnsi="Arial" w:cs="Arial"/>
          <w:lang w:val="en-GB"/>
        </w:rPr>
        <w:t>SPC</w:t>
      </w:r>
      <w:r w:rsidRPr="00B3314E">
        <w:rPr>
          <w:rFonts w:ascii="Arial" w:hAnsi="Arial" w:cs="Arial"/>
          <w:lang w:val="en-GB"/>
        </w:rPr>
        <w:t xml:space="preserve"> </w:t>
      </w:r>
      <w:r w:rsidR="00EE09AC" w:rsidRPr="00B3314E">
        <w:rPr>
          <w:rFonts w:ascii="Arial" w:hAnsi="Arial" w:cs="Arial"/>
          <w:lang w:val="en-GB"/>
        </w:rPr>
        <w:t>(August 5, 2013)</w:t>
      </w:r>
      <w:r w:rsidRPr="00B3314E">
        <w:rPr>
          <w:rFonts w:ascii="Arial" w:hAnsi="Arial" w:cs="Arial"/>
          <w:lang w:val="en-GB"/>
        </w:rPr>
        <w:t xml:space="preserve">. </w:t>
      </w:r>
    </w:p>
    <w:p w14:paraId="079D1FB2" w14:textId="77777777" w:rsidR="006C7B0F" w:rsidRPr="00B3314E" w:rsidRDefault="006C7B0F" w:rsidP="00F25E5E">
      <w:pPr>
        <w:spacing w:after="0" w:line="312" w:lineRule="auto"/>
        <w:jc w:val="both"/>
        <w:rPr>
          <w:rFonts w:ascii="Arial" w:hAnsi="Arial" w:cs="Arial"/>
          <w:lang w:val="en-GB"/>
        </w:rPr>
      </w:pPr>
    </w:p>
    <w:p w14:paraId="31D59F3F" w14:textId="77777777"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As a result, the </w:t>
      </w:r>
      <w:r w:rsidR="00EE09AC" w:rsidRPr="00B3314E">
        <w:rPr>
          <w:rFonts w:ascii="Arial" w:hAnsi="Arial" w:cs="Arial"/>
          <w:lang w:val="en-GB"/>
        </w:rPr>
        <w:t xml:space="preserve">so-called </w:t>
      </w:r>
      <w:r w:rsidR="002F2A81" w:rsidRPr="00B3314E">
        <w:rPr>
          <w:rFonts w:ascii="Arial" w:hAnsi="Arial" w:cs="Arial"/>
          <w:lang w:val="en-GB"/>
        </w:rPr>
        <w:t xml:space="preserve">"homogeneous grouping" comprising the original EVISTA® and OPTRUMA® products and TEVA raloxifene </w:t>
      </w:r>
      <w:r w:rsidRPr="00B3314E">
        <w:rPr>
          <w:rFonts w:ascii="Arial" w:hAnsi="Arial" w:cs="Arial"/>
          <w:lang w:val="en-GB"/>
        </w:rPr>
        <w:t xml:space="preserve">was created </w:t>
      </w:r>
      <w:r w:rsidR="007E4D10" w:rsidRPr="00B3314E">
        <w:rPr>
          <w:rFonts w:ascii="Arial" w:hAnsi="Arial" w:cs="Arial"/>
          <w:lang w:val="en-GB"/>
        </w:rPr>
        <w:t xml:space="preserve">in </w:t>
      </w:r>
      <w:r w:rsidR="002F2A81" w:rsidRPr="00B3314E">
        <w:rPr>
          <w:rFonts w:ascii="Arial" w:hAnsi="Arial" w:cs="Arial"/>
          <w:lang w:val="en-GB"/>
        </w:rPr>
        <w:t xml:space="preserve">September 2011. </w:t>
      </w:r>
    </w:p>
    <w:p w14:paraId="5067B4BB" w14:textId="77777777" w:rsidR="007269A5" w:rsidRDefault="007269A5">
      <w:pPr>
        <w:spacing w:after="0" w:line="312" w:lineRule="auto"/>
        <w:jc w:val="both"/>
        <w:rPr>
          <w:rFonts w:ascii="Arial" w:hAnsi="Arial" w:cs="Arial"/>
          <w:lang w:val="en-GB"/>
        </w:rPr>
      </w:pPr>
    </w:p>
    <w:p w14:paraId="3591B5D3" w14:textId="04DEB846" w:rsidR="003744B6" w:rsidRPr="00B3314E" w:rsidRDefault="000F388B">
      <w:pPr>
        <w:spacing w:after="0" w:line="312" w:lineRule="auto"/>
        <w:jc w:val="both"/>
        <w:rPr>
          <w:rFonts w:ascii="Arial" w:hAnsi="Arial" w:cs="Arial"/>
          <w:lang w:val="en-GB"/>
        </w:rPr>
      </w:pPr>
      <w:r w:rsidRPr="00B3314E">
        <w:rPr>
          <w:rFonts w:ascii="Arial" w:hAnsi="Arial" w:cs="Arial"/>
          <w:lang w:val="en-GB"/>
        </w:rPr>
        <w:lastRenderedPageBreak/>
        <w:t>In accordance with the Spanish Medicines Law then in force</w:t>
      </w:r>
      <w:r>
        <w:rPr>
          <w:rStyle w:val="Voetnootmarkering"/>
          <w:rFonts w:ascii="Arial" w:hAnsi="Arial" w:cs="Arial"/>
          <w:lang w:val="es-ES"/>
        </w:rPr>
        <w:footnoteReference w:id="1"/>
      </w:r>
      <w:r w:rsidRPr="00B3314E">
        <w:rPr>
          <w:rFonts w:ascii="Arial" w:hAnsi="Arial" w:cs="Arial"/>
          <w:lang w:val="en-GB"/>
        </w:rPr>
        <w:t xml:space="preserve"> , this homogeneous grouping required pharmacists to dispense the lowest-priced drug </w:t>
      </w:r>
      <w:r w:rsidR="004372CB" w:rsidRPr="00B3314E">
        <w:rPr>
          <w:rFonts w:ascii="Arial" w:hAnsi="Arial" w:cs="Arial"/>
          <w:lang w:val="en-GB"/>
        </w:rPr>
        <w:t>included in the grouping (the so-called "lowest price system")</w:t>
      </w:r>
      <w:r w:rsidRPr="00B3314E">
        <w:rPr>
          <w:rFonts w:ascii="Arial" w:hAnsi="Arial" w:cs="Arial"/>
          <w:lang w:val="en-GB"/>
        </w:rPr>
        <w:t xml:space="preserve">. </w:t>
      </w:r>
      <w:r w:rsidR="00C73441" w:rsidRPr="00B3314E">
        <w:rPr>
          <w:rFonts w:ascii="Arial" w:hAnsi="Arial" w:cs="Arial"/>
          <w:lang w:val="en-GB"/>
        </w:rPr>
        <w:t>Following the launch</w:t>
      </w:r>
      <w:r w:rsidR="0047434C">
        <w:rPr>
          <w:rFonts w:ascii="Arial" w:hAnsi="Arial" w:cs="Arial"/>
          <w:lang w:val="en-GB"/>
        </w:rPr>
        <w:t>ing</w:t>
      </w:r>
      <w:r w:rsidR="00C73441" w:rsidRPr="00B3314E">
        <w:rPr>
          <w:rFonts w:ascii="Arial" w:hAnsi="Arial" w:cs="Arial"/>
          <w:lang w:val="en-GB"/>
        </w:rPr>
        <w:t xml:space="preserve"> of this first generic drug, </w:t>
      </w:r>
      <w:r w:rsidRPr="00B3314E">
        <w:rPr>
          <w:rFonts w:ascii="Arial" w:hAnsi="Arial" w:cs="Arial"/>
          <w:lang w:val="en-GB"/>
        </w:rPr>
        <w:t xml:space="preserve">DAICHII was forced to reduce the price of EVISTA® in order to </w:t>
      </w:r>
      <w:r w:rsidR="0047434C">
        <w:rPr>
          <w:rFonts w:ascii="Arial" w:hAnsi="Arial" w:cs="Arial"/>
          <w:lang w:val="en-GB"/>
        </w:rPr>
        <w:t>align it</w:t>
      </w:r>
      <w:r w:rsidRPr="00B3314E">
        <w:rPr>
          <w:rFonts w:ascii="Arial" w:hAnsi="Arial" w:cs="Arial"/>
          <w:lang w:val="en-GB"/>
        </w:rPr>
        <w:t xml:space="preserve"> with that of TEVA. </w:t>
      </w:r>
    </w:p>
    <w:p w14:paraId="31F940D6" w14:textId="77777777" w:rsidR="00381B2B" w:rsidRPr="00B3314E" w:rsidRDefault="00381B2B" w:rsidP="004171A7">
      <w:pPr>
        <w:spacing w:after="0" w:line="312" w:lineRule="auto"/>
        <w:jc w:val="both"/>
        <w:rPr>
          <w:rFonts w:ascii="Arial" w:hAnsi="Arial" w:cs="Arial"/>
          <w:lang w:val="en-GB"/>
        </w:rPr>
      </w:pPr>
    </w:p>
    <w:p w14:paraId="42391BC6" w14:textId="77777777"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Months later, CINFA also launched its generic, in January 2012 </w:t>
      </w:r>
      <w:r w:rsidR="00EE09AC" w:rsidRPr="00B3314E">
        <w:rPr>
          <w:rFonts w:ascii="Arial" w:hAnsi="Arial" w:cs="Arial"/>
          <w:lang w:val="en-GB"/>
        </w:rPr>
        <w:t xml:space="preserve">and, </w:t>
      </w:r>
      <w:r w:rsidRPr="00B3314E">
        <w:rPr>
          <w:rFonts w:ascii="Arial" w:hAnsi="Arial" w:cs="Arial"/>
          <w:lang w:val="en-GB"/>
        </w:rPr>
        <w:t xml:space="preserve">subsequently, other laboratories launched </w:t>
      </w:r>
      <w:r w:rsidR="00C73441" w:rsidRPr="00B3314E">
        <w:rPr>
          <w:rFonts w:ascii="Arial" w:hAnsi="Arial" w:cs="Arial"/>
          <w:lang w:val="en-GB"/>
        </w:rPr>
        <w:t>theirs</w:t>
      </w:r>
      <w:r w:rsidR="00EE09AC" w:rsidRPr="00B3314E">
        <w:rPr>
          <w:rFonts w:ascii="Arial" w:hAnsi="Arial" w:cs="Arial"/>
          <w:lang w:val="en-GB"/>
        </w:rPr>
        <w:t xml:space="preserve">: </w:t>
      </w:r>
      <w:r w:rsidRPr="00B3314E">
        <w:rPr>
          <w:rFonts w:ascii="Arial" w:hAnsi="Arial" w:cs="Arial"/>
          <w:lang w:val="en-GB"/>
        </w:rPr>
        <w:t>STADA, SANDOZ, RATIOPHARM, KERN in July 2012</w:t>
      </w:r>
      <w:r w:rsidR="00EE09AC" w:rsidRPr="00B3314E">
        <w:rPr>
          <w:rFonts w:ascii="Arial" w:hAnsi="Arial" w:cs="Arial"/>
          <w:lang w:val="en-GB"/>
        </w:rPr>
        <w:t xml:space="preserve">; </w:t>
      </w:r>
      <w:r w:rsidRPr="00B3314E">
        <w:rPr>
          <w:rFonts w:ascii="Arial" w:hAnsi="Arial" w:cs="Arial"/>
          <w:lang w:val="en-GB"/>
        </w:rPr>
        <w:t xml:space="preserve">and MYLAN, TECNIGEN and TARBIS in 2013. </w:t>
      </w:r>
    </w:p>
    <w:p w14:paraId="23EB4017" w14:textId="77777777" w:rsidR="00AB7C4B" w:rsidRPr="00B3314E" w:rsidRDefault="00AB7C4B" w:rsidP="004171A7">
      <w:pPr>
        <w:spacing w:after="0" w:line="312" w:lineRule="auto"/>
        <w:jc w:val="both"/>
        <w:rPr>
          <w:rFonts w:ascii="Arial" w:hAnsi="Arial" w:cs="Arial"/>
          <w:lang w:val="en-GB"/>
        </w:rPr>
      </w:pPr>
    </w:p>
    <w:p w14:paraId="13067EEF" w14:textId="6DAE7E62" w:rsidR="003744B6" w:rsidRPr="00B3314E" w:rsidRDefault="000F388B">
      <w:pPr>
        <w:spacing w:after="0" w:line="312" w:lineRule="auto"/>
        <w:jc w:val="both"/>
        <w:rPr>
          <w:rFonts w:ascii="Arial" w:hAnsi="Arial" w:cs="Arial"/>
          <w:b/>
          <w:bCs/>
          <w:lang w:val="en-GB"/>
        </w:rPr>
      </w:pPr>
      <w:r w:rsidRPr="00B3314E">
        <w:rPr>
          <w:rFonts w:ascii="Arial" w:hAnsi="Arial" w:cs="Arial"/>
          <w:lang w:val="en-GB"/>
        </w:rPr>
        <w:t xml:space="preserve">In the first instance, Commercial Court No. 7 of Madrid in </w:t>
      </w:r>
      <w:r w:rsidR="00BF1236" w:rsidRPr="00B3314E">
        <w:rPr>
          <w:rFonts w:ascii="Arial" w:hAnsi="Arial" w:cs="Arial"/>
          <w:lang w:val="en-GB"/>
        </w:rPr>
        <w:t xml:space="preserve">its </w:t>
      </w:r>
      <w:r w:rsidRPr="00B3314E">
        <w:rPr>
          <w:rFonts w:ascii="Arial" w:hAnsi="Arial" w:cs="Arial"/>
          <w:lang w:val="en-GB"/>
        </w:rPr>
        <w:t>Judgment dated February 28, 2022</w:t>
      </w:r>
      <w:r w:rsidR="00DC7136">
        <w:rPr>
          <w:rFonts w:ascii="Arial" w:hAnsi="Arial" w:cs="Arial"/>
          <w:lang w:val="en-GB"/>
        </w:rPr>
        <w:t>,</w:t>
      </w:r>
      <w:r w:rsidRPr="00B3314E">
        <w:rPr>
          <w:rFonts w:ascii="Arial" w:hAnsi="Arial" w:cs="Arial"/>
          <w:lang w:val="en-GB"/>
        </w:rPr>
        <w:t xml:space="preserve"> </w:t>
      </w:r>
      <w:r w:rsidR="00DC7136">
        <w:rPr>
          <w:rFonts w:ascii="Arial" w:hAnsi="Arial" w:cs="Arial"/>
          <w:lang w:val="en-GB"/>
        </w:rPr>
        <w:t>found</w:t>
      </w:r>
      <w:r w:rsidRPr="00B3314E">
        <w:rPr>
          <w:rFonts w:ascii="Arial" w:hAnsi="Arial" w:cs="Arial"/>
          <w:lang w:val="en-GB"/>
        </w:rPr>
        <w:t xml:space="preserve"> the existence of infringement and ordered TEVA and CINFA to pay damages against both the </w:t>
      </w:r>
      <w:r w:rsidR="00DC7136">
        <w:rPr>
          <w:rFonts w:ascii="Arial" w:hAnsi="Arial" w:cs="Arial"/>
          <w:lang w:val="en-GB"/>
        </w:rPr>
        <w:t>owner</w:t>
      </w:r>
      <w:r w:rsidRPr="00B3314E">
        <w:rPr>
          <w:rFonts w:ascii="Arial" w:hAnsi="Arial" w:cs="Arial"/>
          <w:lang w:val="en-GB"/>
        </w:rPr>
        <w:t xml:space="preserve"> ELI LILLY and </w:t>
      </w:r>
      <w:r w:rsidR="00BF1236" w:rsidRPr="00B3314E">
        <w:rPr>
          <w:rFonts w:ascii="Arial" w:hAnsi="Arial" w:cs="Arial"/>
          <w:lang w:val="en-GB"/>
        </w:rPr>
        <w:t xml:space="preserve">its exclusive </w:t>
      </w:r>
      <w:r w:rsidRPr="00B3314E">
        <w:rPr>
          <w:rFonts w:ascii="Arial" w:hAnsi="Arial" w:cs="Arial"/>
          <w:lang w:val="en-GB"/>
        </w:rPr>
        <w:t>licensee DAIICHI.</w:t>
      </w:r>
    </w:p>
    <w:p w14:paraId="7B4062B9" w14:textId="77777777" w:rsidR="00680AD0" w:rsidRPr="00B3314E" w:rsidRDefault="00680AD0" w:rsidP="00F55E2C">
      <w:pPr>
        <w:spacing w:after="0" w:line="312" w:lineRule="auto"/>
        <w:jc w:val="both"/>
        <w:rPr>
          <w:rFonts w:ascii="Arial" w:hAnsi="Arial" w:cs="Arial"/>
          <w:b/>
          <w:bCs/>
          <w:lang w:val="en-GB"/>
        </w:rPr>
      </w:pPr>
    </w:p>
    <w:p w14:paraId="7018537B" w14:textId="1A71B7DF" w:rsidR="003744B6" w:rsidRPr="00B3314E" w:rsidRDefault="00462A0D">
      <w:pPr>
        <w:spacing w:after="0" w:line="312" w:lineRule="auto"/>
        <w:jc w:val="both"/>
        <w:rPr>
          <w:rFonts w:ascii="Arial" w:hAnsi="Arial" w:cs="Arial"/>
          <w:b/>
          <w:bCs/>
          <w:lang w:val="en-GB"/>
        </w:rPr>
      </w:pPr>
      <w:r>
        <w:rPr>
          <w:rFonts w:ascii="Arial" w:hAnsi="Arial" w:cs="Arial"/>
          <w:b/>
          <w:bCs/>
          <w:lang w:val="en-GB"/>
        </w:rPr>
        <w:t xml:space="preserve">Proof of </w:t>
      </w:r>
      <w:r w:rsidR="000F388B" w:rsidRPr="00B3314E">
        <w:rPr>
          <w:rFonts w:ascii="Arial" w:hAnsi="Arial" w:cs="Arial"/>
          <w:b/>
          <w:bCs/>
          <w:lang w:val="en-GB"/>
        </w:rPr>
        <w:t>standing of the exclusive licensee (DAIICHI)</w:t>
      </w:r>
      <w:r>
        <w:rPr>
          <w:rFonts w:ascii="Arial" w:hAnsi="Arial" w:cs="Arial"/>
          <w:b/>
          <w:bCs/>
          <w:lang w:val="en-GB"/>
        </w:rPr>
        <w:t xml:space="preserve"> to bring an infringement action</w:t>
      </w:r>
    </w:p>
    <w:p w14:paraId="704794AF" w14:textId="77777777" w:rsidR="00AB7C4B" w:rsidRPr="00B3314E" w:rsidRDefault="00AB7C4B" w:rsidP="00F55E2C">
      <w:pPr>
        <w:spacing w:after="0" w:line="312" w:lineRule="auto"/>
        <w:jc w:val="both"/>
        <w:rPr>
          <w:rFonts w:ascii="Arial" w:hAnsi="Arial" w:cs="Arial"/>
          <w:b/>
          <w:bCs/>
          <w:lang w:val="en-GB"/>
        </w:rPr>
      </w:pPr>
    </w:p>
    <w:p w14:paraId="1C23C27E" w14:textId="3BC6EFE8" w:rsidR="007269A5" w:rsidRDefault="000F388B">
      <w:pPr>
        <w:spacing w:after="0" w:line="312" w:lineRule="auto"/>
        <w:jc w:val="both"/>
        <w:rPr>
          <w:rFonts w:ascii="Arial" w:hAnsi="Arial" w:cs="Arial"/>
          <w:lang w:val="en-GB"/>
        </w:rPr>
      </w:pPr>
      <w:r w:rsidRPr="00B3314E">
        <w:rPr>
          <w:rFonts w:ascii="Arial" w:hAnsi="Arial" w:cs="Arial"/>
          <w:lang w:val="en-GB"/>
        </w:rPr>
        <w:t xml:space="preserve">The first issue addressed by the appeal judgment issued by </w:t>
      </w:r>
      <w:r w:rsidR="007269A5">
        <w:rPr>
          <w:rFonts w:ascii="Arial" w:hAnsi="Arial" w:cs="Arial"/>
          <w:lang w:val="en-GB"/>
        </w:rPr>
        <w:t>s</w:t>
      </w:r>
      <w:r w:rsidRPr="00B3314E">
        <w:rPr>
          <w:rFonts w:ascii="Arial" w:hAnsi="Arial" w:cs="Arial"/>
          <w:lang w:val="en-GB"/>
        </w:rPr>
        <w:t xml:space="preserve">ection 32 of the </w:t>
      </w:r>
      <w:r w:rsidR="007269A5" w:rsidRPr="00B3314E">
        <w:rPr>
          <w:rFonts w:ascii="Arial" w:hAnsi="Arial" w:cs="Arial"/>
          <w:lang w:val="en-GB"/>
        </w:rPr>
        <w:t>Madrid</w:t>
      </w:r>
      <w:r w:rsidR="007269A5">
        <w:rPr>
          <w:rFonts w:ascii="Arial" w:hAnsi="Arial" w:cs="Arial"/>
          <w:lang w:val="en-GB"/>
        </w:rPr>
        <w:t xml:space="preserve"> Court of Appeals</w:t>
      </w:r>
      <w:r w:rsidR="007269A5" w:rsidRPr="00B3314E">
        <w:rPr>
          <w:rFonts w:ascii="Arial" w:hAnsi="Arial" w:cs="Arial"/>
          <w:lang w:val="en-GB"/>
        </w:rPr>
        <w:t xml:space="preserve"> </w:t>
      </w:r>
      <w:r w:rsidR="007269A5">
        <w:rPr>
          <w:rFonts w:ascii="Arial" w:hAnsi="Arial" w:cs="Arial"/>
          <w:lang w:val="en-GB"/>
        </w:rPr>
        <w:t>was</w:t>
      </w:r>
      <w:r w:rsidRPr="00B3314E">
        <w:rPr>
          <w:rFonts w:ascii="Arial" w:hAnsi="Arial" w:cs="Arial"/>
          <w:lang w:val="en-GB"/>
        </w:rPr>
        <w:t xml:space="preserve"> the procedural plea raised by the defendants </w:t>
      </w:r>
      <w:r w:rsidR="00BF1236" w:rsidRPr="00B3314E">
        <w:rPr>
          <w:rFonts w:ascii="Arial" w:hAnsi="Arial" w:cs="Arial"/>
          <w:lang w:val="en-GB"/>
        </w:rPr>
        <w:t xml:space="preserve">for </w:t>
      </w:r>
      <w:r w:rsidR="0092064F">
        <w:rPr>
          <w:rFonts w:ascii="Arial" w:hAnsi="Arial" w:cs="Arial"/>
          <w:lang w:val="en-GB"/>
        </w:rPr>
        <w:t xml:space="preserve">the </w:t>
      </w:r>
      <w:r w:rsidRPr="00B3314E">
        <w:rPr>
          <w:rFonts w:ascii="Arial" w:hAnsi="Arial" w:cs="Arial"/>
          <w:lang w:val="en-GB"/>
        </w:rPr>
        <w:t xml:space="preserve">lack of standing of the co-plaintiff DAIICHI SANKYO EUROPE GmbH, </w:t>
      </w:r>
      <w:r w:rsidR="0092064F">
        <w:rPr>
          <w:rFonts w:ascii="Arial" w:hAnsi="Arial" w:cs="Arial"/>
          <w:lang w:val="en-GB"/>
        </w:rPr>
        <w:t xml:space="preserve">the </w:t>
      </w:r>
      <w:r w:rsidRPr="00B3314E">
        <w:rPr>
          <w:rFonts w:ascii="Arial" w:hAnsi="Arial" w:cs="Arial"/>
          <w:lang w:val="en-GB"/>
        </w:rPr>
        <w:t xml:space="preserve">exclusive licensee </w:t>
      </w:r>
      <w:r w:rsidR="00BF1236" w:rsidRPr="00B3314E">
        <w:rPr>
          <w:rFonts w:ascii="Arial" w:hAnsi="Arial" w:cs="Arial"/>
          <w:lang w:val="en-GB"/>
        </w:rPr>
        <w:t xml:space="preserve">of the original drug </w:t>
      </w:r>
      <w:r w:rsidRPr="00B3314E">
        <w:rPr>
          <w:rFonts w:ascii="Arial" w:hAnsi="Arial" w:cs="Arial"/>
          <w:lang w:val="en-GB"/>
        </w:rPr>
        <w:t xml:space="preserve">EVISTA®. </w:t>
      </w:r>
    </w:p>
    <w:p w14:paraId="62933511" w14:textId="77777777" w:rsidR="007269A5" w:rsidRDefault="007269A5">
      <w:pPr>
        <w:spacing w:after="0" w:line="312" w:lineRule="auto"/>
        <w:jc w:val="both"/>
        <w:rPr>
          <w:rFonts w:ascii="Arial" w:hAnsi="Arial" w:cs="Arial"/>
          <w:lang w:val="en-GB"/>
        </w:rPr>
      </w:pPr>
    </w:p>
    <w:p w14:paraId="051FF949" w14:textId="2025934B"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The defendants </w:t>
      </w:r>
      <w:r w:rsidR="006C7B0F" w:rsidRPr="00B3314E">
        <w:rPr>
          <w:rFonts w:ascii="Arial" w:hAnsi="Arial" w:cs="Arial"/>
          <w:lang w:val="en-GB"/>
        </w:rPr>
        <w:t xml:space="preserve">claimed that DAIICHI did not have standing to bring this infringement action, as it </w:t>
      </w:r>
      <w:r w:rsidRPr="00B3314E">
        <w:rPr>
          <w:rFonts w:ascii="Arial" w:hAnsi="Arial" w:cs="Arial"/>
          <w:lang w:val="en-GB"/>
        </w:rPr>
        <w:t xml:space="preserve">had not submitted </w:t>
      </w:r>
      <w:r w:rsidR="006C7B0F" w:rsidRPr="00B3314E">
        <w:rPr>
          <w:rFonts w:ascii="Arial" w:hAnsi="Arial" w:cs="Arial"/>
          <w:lang w:val="en-GB"/>
        </w:rPr>
        <w:t xml:space="preserve">the </w:t>
      </w:r>
      <w:r w:rsidR="008A202C" w:rsidRPr="00B3314E">
        <w:rPr>
          <w:rFonts w:ascii="Arial" w:hAnsi="Arial" w:cs="Arial"/>
          <w:lang w:val="en-GB"/>
        </w:rPr>
        <w:t xml:space="preserve">complete </w:t>
      </w:r>
      <w:r w:rsidRPr="00B3314E">
        <w:rPr>
          <w:rFonts w:ascii="Arial" w:hAnsi="Arial" w:cs="Arial"/>
          <w:lang w:val="en-GB"/>
        </w:rPr>
        <w:t xml:space="preserve">license agreement </w:t>
      </w:r>
      <w:r w:rsidR="00001848" w:rsidRPr="00B3314E">
        <w:rPr>
          <w:rFonts w:ascii="Arial" w:hAnsi="Arial" w:cs="Arial"/>
          <w:lang w:val="en-GB"/>
        </w:rPr>
        <w:t>with ELI LILLY</w:t>
      </w:r>
      <w:r w:rsidR="008A202C" w:rsidRPr="00B3314E">
        <w:rPr>
          <w:rFonts w:ascii="Arial" w:hAnsi="Arial" w:cs="Arial"/>
          <w:lang w:val="en-GB"/>
        </w:rPr>
        <w:t xml:space="preserve">, </w:t>
      </w:r>
      <w:r w:rsidR="006C7B0F" w:rsidRPr="00B3314E">
        <w:rPr>
          <w:rFonts w:ascii="Arial" w:hAnsi="Arial" w:cs="Arial"/>
          <w:lang w:val="en-GB"/>
        </w:rPr>
        <w:t xml:space="preserve">nor had </w:t>
      </w:r>
      <w:r w:rsidR="00096DD1" w:rsidRPr="00B3314E">
        <w:rPr>
          <w:rFonts w:ascii="Arial" w:hAnsi="Arial" w:cs="Arial"/>
          <w:lang w:val="en-GB"/>
        </w:rPr>
        <w:t xml:space="preserve">it </w:t>
      </w:r>
      <w:r w:rsidRPr="00B3314E">
        <w:rPr>
          <w:rFonts w:ascii="Arial" w:hAnsi="Arial" w:cs="Arial"/>
          <w:lang w:val="en-GB"/>
        </w:rPr>
        <w:t xml:space="preserve">registered the license with the </w:t>
      </w:r>
      <w:r w:rsidR="007269A5">
        <w:rPr>
          <w:rFonts w:ascii="Arial" w:hAnsi="Arial" w:cs="Arial"/>
          <w:lang w:val="en-GB"/>
        </w:rPr>
        <w:t>Spanish Patents and Trademark Office (</w:t>
      </w:r>
      <w:r w:rsidRPr="00B3314E">
        <w:rPr>
          <w:rFonts w:ascii="Arial" w:hAnsi="Arial" w:cs="Arial"/>
          <w:lang w:val="en-GB"/>
        </w:rPr>
        <w:t>SPTO</w:t>
      </w:r>
      <w:r w:rsidR="007269A5">
        <w:rPr>
          <w:rFonts w:ascii="Arial" w:hAnsi="Arial" w:cs="Arial"/>
          <w:lang w:val="en-GB"/>
        </w:rPr>
        <w:t>)</w:t>
      </w:r>
      <w:r w:rsidR="006C7B0F" w:rsidRPr="00B3314E">
        <w:rPr>
          <w:rFonts w:ascii="Arial" w:hAnsi="Arial" w:cs="Arial"/>
          <w:lang w:val="en-GB"/>
        </w:rPr>
        <w:t>.</w:t>
      </w:r>
    </w:p>
    <w:p w14:paraId="36AB14CD" w14:textId="77777777" w:rsidR="00AB7C4B" w:rsidRPr="00B3314E" w:rsidRDefault="00AB7C4B" w:rsidP="00F55E2C">
      <w:pPr>
        <w:spacing w:after="0" w:line="312" w:lineRule="auto"/>
        <w:jc w:val="both"/>
        <w:rPr>
          <w:rFonts w:ascii="Arial" w:hAnsi="Arial" w:cs="Arial"/>
          <w:lang w:val="en-GB"/>
        </w:rPr>
      </w:pPr>
    </w:p>
    <w:p w14:paraId="5C49C78D" w14:textId="3F2B1817"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However, the Court considered that the </w:t>
      </w:r>
      <w:r w:rsidRPr="00462A0D">
        <w:rPr>
          <w:rFonts w:ascii="Arial" w:hAnsi="Arial" w:cs="Arial"/>
          <w:lang w:val="en-GB"/>
        </w:rPr>
        <w:t xml:space="preserve">partial submission of the license agreement, which </w:t>
      </w:r>
      <w:r w:rsidR="00001848" w:rsidRPr="00462A0D">
        <w:rPr>
          <w:rFonts w:ascii="Arial" w:hAnsi="Arial" w:cs="Arial"/>
          <w:lang w:val="en-GB"/>
        </w:rPr>
        <w:t>included</w:t>
      </w:r>
      <w:r w:rsidR="008A202C" w:rsidRPr="00462A0D">
        <w:rPr>
          <w:rFonts w:ascii="Arial" w:hAnsi="Arial" w:cs="Arial"/>
          <w:lang w:val="en-GB"/>
        </w:rPr>
        <w:t xml:space="preserve">, among others, </w:t>
      </w:r>
      <w:r w:rsidR="00001848" w:rsidRPr="00462A0D">
        <w:rPr>
          <w:rFonts w:ascii="Arial" w:hAnsi="Arial" w:cs="Arial"/>
          <w:lang w:val="en-GB"/>
        </w:rPr>
        <w:t>the clause relating to the granting of the exclusive license</w:t>
      </w:r>
      <w:r w:rsidR="00D825E8" w:rsidRPr="00462A0D">
        <w:rPr>
          <w:rFonts w:ascii="Arial" w:hAnsi="Arial" w:cs="Arial"/>
          <w:lang w:val="en-GB"/>
        </w:rPr>
        <w:t xml:space="preserve">, </w:t>
      </w:r>
      <w:r w:rsidRPr="00462A0D">
        <w:rPr>
          <w:rFonts w:ascii="Arial" w:hAnsi="Arial" w:cs="Arial"/>
          <w:lang w:val="en-GB"/>
        </w:rPr>
        <w:t xml:space="preserve">and the fact that this extract had been </w:t>
      </w:r>
      <w:r w:rsidR="00D825E8" w:rsidRPr="00462A0D">
        <w:rPr>
          <w:rFonts w:ascii="Arial" w:hAnsi="Arial" w:cs="Arial"/>
          <w:lang w:val="en-GB"/>
        </w:rPr>
        <w:t xml:space="preserve">checked </w:t>
      </w:r>
      <w:r w:rsidRPr="00462A0D">
        <w:rPr>
          <w:rFonts w:ascii="Arial" w:hAnsi="Arial" w:cs="Arial"/>
          <w:lang w:val="en-GB"/>
        </w:rPr>
        <w:t>by a notary public with the original, was sufficient to prove DAIICHI's status as</w:t>
      </w:r>
      <w:r w:rsidR="00623A61" w:rsidRPr="00462A0D">
        <w:rPr>
          <w:rFonts w:ascii="Arial" w:hAnsi="Arial" w:cs="Arial"/>
          <w:lang w:val="en-GB"/>
        </w:rPr>
        <w:t xml:space="preserve"> the</w:t>
      </w:r>
      <w:r w:rsidRPr="00462A0D">
        <w:rPr>
          <w:rFonts w:ascii="Arial" w:hAnsi="Arial" w:cs="Arial"/>
          <w:lang w:val="en-GB"/>
        </w:rPr>
        <w:t xml:space="preserve"> licensee </w:t>
      </w:r>
      <w:r w:rsidR="006C7B0F" w:rsidRPr="00462A0D">
        <w:rPr>
          <w:rFonts w:ascii="Arial" w:hAnsi="Arial" w:cs="Arial"/>
          <w:lang w:val="en-GB"/>
        </w:rPr>
        <w:t xml:space="preserve">and to bring an infringement action jointly with the </w:t>
      </w:r>
      <w:r w:rsidR="007269A5" w:rsidRPr="00462A0D">
        <w:rPr>
          <w:rFonts w:ascii="Arial" w:hAnsi="Arial" w:cs="Arial"/>
          <w:lang w:val="en-GB"/>
        </w:rPr>
        <w:t xml:space="preserve">patent </w:t>
      </w:r>
      <w:r w:rsidR="00623A61" w:rsidRPr="00462A0D">
        <w:rPr>
          <w:rFonts w:ascii="Arial" w:hAnsi="Arial" w:cs="Arial"/>
          <w:lang w:val="en-GB"/>
        </w:rPr>
        <w:t>owner</w:t>
      </w:r>
      <w:r w:rsidR="006C7B0F" w:rsidRPr="00B3314E">
        <w:rPr>
          <w:rFonts w:ascii="Arial" w:hAnsi="Arial" w:cs="Arial"/>
          <w:lang w:val="en-GB"/>
        </w:rPr>
        <w:t>.</w:t>
      </w:r>
    </w:p>
    <w:p w14:paraId="15794637" w14:textId="77777777" w:rsidR="00C73441" w:rsidRPr="00B3314E" w:rsidRDefault="00C73441" w:rsidP="00F55E2C">
      <w:pPr>
        <w:spacing w:after="0" w:line="312" w:lineRule="auto"/>
        <w:jc w:val="both"/>
        <w:rPr>
          <w:rFonts w:ascii="Arial" w:hAnsi="Arial" w:cs="Arial"/>
          <w:lang w:val="en-GB"/>
        </w:rPr>
      </w:pPr>
    </w:p>
    <w:p w14:paraId="68876539" w14:textId="70C8BDA1" w:rsidR="003744B6" w:rsidRPr="00B3314E" w:rsidRDefault="000F388B">
      <w:pPr>
        <w:spacing w:after="0" w:line="312" w:lineRule="auto"/>
        <w:jc w:val="both"/>
        <w:rPr>
          <w:rFonts w:ascii="Arial" w:hAnsi="Arial" w:cs="Arial"/>
          <w:b/>
          <w:bCs/>
          <w:lang w:val="en-GB"/>
        </w:rPr>
      </w:pPr>
      <w:r w:rsidRPr="00B3314E">
        <w:rPr>
          <w:rFonts w:ascii="Arial" w:hAnsi="Arial" w:cs="Arial"/>
          <w:b/>
          <w:bCs/>
          <w:lang w:val="en-GB"/>
        </w:rPr>
        <w:t>Preclusion of actions</w:t>
      </w:r>
      <w:r w:rsidR="00462A0D">
        <w:rPr>
          <w:rFonts w:ascii="Arial" w:hAnsi="Arial" w:cs="Arial"/>
          <w:b/>
          <w:bCs/>
          <w:lang w:val="en-GB"/>
        </w:rPr>
        <w:t xml:space="preserve">: </w:t>
      </w:r>
      <w:r w:rsidR="007269A5">
        <w:rPr>
          <w:rFonts w:ascii="Arial" w:hAnsi="Arial" w:cs="Arial"/>
          <w:b/>
          <w:bCs/>
          <w:lang w:val="en-GB"/>
        </w:rPr>
        <w:t>patent invalidity action</w:t>
      </w:r>
      <w:r w:rsidR="00462A0D">
        <w:rPr>
          <w:rFonts w:ascii="Arial" w:hAnsi="Arial" w:cs="Arial"/>
          <w:b/>
          <w:bCs/>
          <w:lang w:val="en-GB"/>
        </w:rPr>
        <w:t xml:space="preserve"> previously brought before another court </w:t>
      </w:r>
    </w:p>
    <w:p w14:paraId="2D433338" w14:textId="77777777" w:rsidR="004A7647" w:rsidRPr="00B3314E" w:rsidRDefault="004A7647" w:rsidP="00F55E2C">
      <w:pPr>
        <w:spacing w:after="0" w:line="312" w:lineRule="auto"/>
        <w:jc w:val="both"/>
        <w:rPr>
          <w:rFonts w:ascii="Arial" w:hAnsi="Arial" w:cs="Arial"/>
          <w:b/>
          <w:bCs/>
          <w:lang w:val="en-GB"/>
        </w:rPr>
      </w:pPr>
    </w:p>
    <w:p w14:paraId="0610BA52" w14:textId="0921F15C"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Another of the procedural issues addressed by the judgment </w:t>
      </w:r>
      <w:r w:rsidR="00C92A38" w:rsidRPr="00B3314E">
        <w:rPr>
          <w:rFonts w:ascii="Arial" w:hAnsi="Arial" w:cs="Arial"/>
          <w:lang w:val="en-GB"/>
        </w:rPr>
        <w:t xml:space="preserve">of the </w:t>
      </w:r>
      <w:r w:rsidR="00462A0D">
        <w:rPr>
          <w:rFonts w:ascii="Arial" w:hAnsi="Arial" w:cs="Arial"/>
          <w:lang w:val="en-GB"/>
        </w:rPr>
        <w:t>Court of Appeals</w:t>
      </w:r>
      <w:r w:rsidR="00C92A38" w:rsidRPr="00B3314E">
        <w:rPr>
          <w:rFonts w:ascii="Arial" w:hAnsi="Arial" w:cs="Arial"/>
          <w:lang w:val="en-GB"/>
        </w:rPr>
        <w:t xml:space="preserve"> of Madrid </w:t>
      </w:r>
      <w:r w:rsidRPr="00B3314E">
        <w:rPr>
          <w:rFonts w:ascii="Arial" w:hAnsi="Arial" w:cs="Arial"/>
          <w:lang w:val="en-GB"/>
        </w:rPr>
        <w:t xml:space="preserve">is the preclusion of the nullity action that the defendants TEVA and CINFA had raised as a defense against the patent infringement action. </w:t>
      </w:r>
    </w:p>
    <w:p w14:paraId="4AC8A07F" w14:textId="77777777" w:rsidR="00863CC4" w:rsidRPr="00B3314E" w:rsidRDefault="00863CC4" w:rsidP="00F55E2C">
      <w:pPr>
        <w:spacing w:after="0" w:line="312" w:lineRule="auto"/>
        <w:jc w:val="both"/>
        <w:rPr>
          <w:rFonts w:ascii="Arial" w:hAnsi="Arial" w:cs="Arial"/>
          <w:lang w:val="en-GB"/>
        </w:rPr>
      </w:pPr>
    </w:p>
    <w:p w14:paraId="0DC217A2" w14:textId="347C36F0" w:rsidR="003744B6" w:rsidRPr="00B3314E" w:rsidRDefault="000F388B">
      <w:pPr>
        <w:spacing w:after="0" w:line="312" w:lineRule="auto"/>
        <w:jc w:val="both"/>
        <w:rPr>
          <w:rFonts w:ascii="Arial" w:hAnsi="Arial" w:cs="Arial"/>
          <w:lang w:val="en-GB"/>
        </w:rPr>
      </w:pPr>
      <w:r w:rsidRPr="00B3314E">
        <w:rPr>
          <w:rFonts w:ascii="Arial" w:hAnsi="Arial" w:cs="Arial"/>
          <w:lang w:val="en-GB"/>
        </w:rPr>
        <w:lastRenderedPageBreak/>
        <w:t xml:space="preserve">The question to be resolved </w:t>
      </w:r>
      <w:r w:rsidR="00C868CC" w:rsidRPr="00B3314E">
        <w:rPr>
          <w:rFonts w:ascii="Arial" w:hAnsi="Arial" w:cs="Arial"/>
          <w:lang w:val="en-GB"/>
        </w:rPr>
        <w:t xml:space="preserve">by the Court </w:t>
      </w:r>
      <w:r w:rsidRPr="00B3314E">
        <w:rPr>
          <w:rFonts w:ascii="Arial" w:hAnsi="Arial" w:cs="Arial"/>
          <w:lang w:val="en-GB"/>
        </w:rPr>
        <w:t>was whether</w:t>
      </w:r>
      <w:r w:rsidR="00D4549B">
        <w:rPr>
          <w:rFonts w:ascii="Arial" w:hAnsi="Arial" w:cs="Arial"/>
          <w:lang w:val="en-GB"/>
        </w:rPr>
        <w:t xml:space="preserve"> or not</w:t>
      </w:r>
      <w:r w:rsidRPr="00B3314E">
        <w:rPr>
          <w:rFonts w:ascii="Arial" w:hAnsi="Arial" w:cs="Arial"/>
          <w:lang w:val="en-GB"/>
        </w:rPr>
        <w:t xml:space="preserve">, since </w:t>
      </w:r>
      <w:r w:rsidR="00C868CC" w:rsidRPr="00B3314E">
        <w:rPr>
          <w:rFonts w:ascii="Arial" w:hAnsi="Arial" w:cs="Arial"/>
          <w:lang w:val="en-GB"/>
        </w:rPr>
        <w:t xml:space="preserve">CINFA and TEVA </w:t>
      </w:r>
      <w:r w:rsidRPr="00B3314E">
        <w:rPr>
          <w:rFonts w:ascii="Arial" w:hAnsi="Arial" w:cs="Arial"/>
          <w:lang w:val="en-GB"/>
        </w:rPr>
        <w:t xml:space="preserve">had </w:t>
      </w:r>
      <w:r w:rsidR="00C868CC" w:rsidRPr="00B3314E">
        <w:rPr>
          <w:rFonts w:ascii="Arial" w:hAnsi="Arial" w:cs="Arial"/>
          <w:lang w:val="en-GB"/>
        </w:rPr>
        <w:t xml:space="preserve">already filed a </w:t>
      </w:r>
      <w:r w:rsidRPr="00B3314E">
        <w:rPr>
          <w:rFonts w:ascii="Arial" w:hAnsi="Arial" w:cs="Arial"/>
          <w:lang w:val="en-GB"/>
        </w:rPr>
        <w:t xml:space="preserve">nullity action </w:t>
      </w:r>
      <w:r w:rsidR="00C868CC" w:rsidRPr="00B3314E">
        <w:rPr>
          <w:rFonts w:ascii="Arial" w:hAnsi="Arial" w:cs="Arial"/>
          <w:lang w:val="en-GB"/>
        </w:rPr>
        <w:t xml:space="preserve">against ELI LILLY in a previous lawsuit before the Courts of Pamplona, </w:t>
      </w:r>
      <w:r w:rsidR="00D4549B">
        <w:rPr>
          <w:rFonts w:ascii="Arial" w:hAnsi="Arial" w:cs="Arial"/>
          <w:lang w:val="en-GB"/>
        </w:rPr>
        <w:t>which was</w:t>
      </w:r>
      <w:r w:rsidR="00C868CC" w:rsidRPr="00B3314E">
        <w:rPr>
          <w:rFonts w:ascii="Arial" w:hAnsi="Arial" w:cs="Arial"/>
          <w:lang w:val="en-GB"/>
        </w:rPr>
        <w:t xml:space="preserve"> rejected, they could now request the nullity of the same patent before the Courts of Madrid.</w:t>
      </w:r>
    </w:p>
    <w:p w14:paraId="6A11601D" w14:textId="77777777" w:rsidR="00C868CC" w:rsidRPr="00B3314E" w:rsidRDefault="00C868CC" w:rsidP="00F55E2C">
      <w:pPr>
        <w:spacing w:after="0" w:line="312" w:lineRule="auto"/>
        <w:jc w:val="both"/>
        <w:rPr>
          <w:rFonts w:ascii="Arial" w:hAnsi="Arial" w:cs="Arial"/>
          <w:lang w:val="en-GB"/>
        </w:rPr>
      </w:pPr>
    </w:p>
    <w:p w14:paraId="5EB6E008" w14:textId="77777777" w:rsidR="00462A0D" w:rsidRDefault="000F388B">
      <w:pPr>
        <w:spacing w:after="0" w:line="312" w:lineRule="auto"/>
        <w:jc w:val="both"/>
        <w:rPr>
          <w:rFonts w:ascii="Arial" w:hAnsi="Arial" w:cs="Arial"/>
          <w:lang w:val="en-GB"/>
        </w:rPr>
      </w:pPr>
      <w:r w:rsidRPr="00B3314E">
        <w:rPr>
          <w:rFonts w:ascii="Arial" w:hAnsi="Arial" w:cs="Arial"/>
          <w:lang w:val="en-GB"/>
        </w:rPr>
        <w:t xml:space="preserve">The Court </w:t>
      </w:r>
      <w:r w:rsidR="00FD0A7D">
        <w:rPr>
          <w:rFonts w:ascii="Arial" w:hAnsi="Arial" w:cs="Arial"/>
          <w:lang w:val="en-GB"/>
        </w:rPr>
        <w:t>considered that they could not</w:t>
      </w:r>
      <w:r w:rsidRPr="00B3314E">
        <w:rPr>
          <w:rFonts w:ascii="Arial" w:hAnsi="Arial" w:cs="Arial"/>
          <w:lang w:val="en-GB"/>
        </w:rPr>
        <w:t xml:space="preserve">, </w:t>
      </w:r>
      <w:r w:rsidR="00462A0D">
        <w:rPr>
          <w:rFonts w:ascii="Arial" w:hAnsi="Arial" w:cs="Arial"/>
          <w:lang w:val="en-GB"/>
        </w:rPr>
        <w:t>in application of the</w:t>
      </w:r>
      <w:r w:rsidRPr="00B3314E">
        <w:rPr>
          <w:rFonts w:ascii="Arial" w:hAnsi="Arial" w:cs="Arial"/>
          <w:lang w:val="en-GB"/>
        </w:rPr>
        <w:t xml:space="preserve"> rule o</w:t>
      </w:r>
      <w:r w:rsidR="00346090">
        <w:rPr>
          <w:rFonts w:ascii="Arial" w:hAnsi="Arial" w:cs="Arial"/>
          <w:lang w:val="en-GB"/>
        </w:rPr>
        <w:t>n the</w:t>
      </w:r>
      <w:r w:rsidRPr="00B3314E">
        <w:rPr>
          <w:rFonts w:ascii="Arial" w:hAnsi="Arial" w:cs="Arial"/>
          <w:lang w:val="en-GB"/>
        </w:rPr>
        <w:t xml:space="preserve"> preclusion of actions of article 400 of the </w:t>
      </w:r>
      <w:r w:rsidR="00462A0D">
        <w:rPr>
          <w:rFonts w:ascii="Arial" w:hAnsi="Arial" w:cs="Arial"/>
          <w:lang w:val="en-GB"/>
        </w:rPr>
        <w:t>Spanish Civil Procedural Law</w:t>
      </w:r>
      <w:r w:rsidRPr="00B3314E">
        <w:rPr>
          <w:rFonts w:ascii="Arial" w:hAnsi="Arial" w:cs="Arial"/>
          <w:lang w:val="en-GB"/>
        </w:rPr>
        <w:t xml:space="preserve">. </w:t>
      </w:r>
    </w:p>
    <w:p w14:paraId="0A9C380A" w14:textId="77777777" w:rsidR="00462A0D" w:rsidRDefault="00462A0D">
      <w:pPr>
        <w:spacing w:after="0" w:line="312" w:lineRule="auto"/>
        <w:jc w:val="both"/>
        <w:rPr>
          <w:rFonts w:ascii="Arial" w:hAnsi="Arial" w:cs="Arial"/>
          <w:lang w:val="en-GB"/>
        </w:rPr>
      </w:pPr>
    </w:p>
    <w:p w14:paraId="37A13691" w14:textId="28BD8B78"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The Court </w:t>
      </w:r>
      <w:r w:rsidR="00C92A38" w:rsidRPr="00B3314E">
        <w:rPr>
          <w:rFonts w:ascii="Arial" w:hAnsi="Arial" w:cs="Arial"/>
          <w:lang w:val="en-GB"/>
        </w:rPr>
        <w:t xml:space="preserve">understood </w:t>
      </w:r>
      <w:r w:rsidRPr="00B3314E">
        <w:rPr>
          <w:rFonts w:ascii="Arial" w:hAnsi="Arial" w:cs="Arial"/>
          <w:lang w:val="en-GB"/>
        </w:rPr>
        <w:t xml:space="preserve">that, </w:t>
      </w:r>
      <w:r w:rsidRPr="00462A0D">
        <w:rPr>
          <w:rFonts w:ascii="Arial" w:hAnsi="Arial" w:cs="Arial"/>
          <w:lang w:val="en-GB"/>
        </w:rPr>
        <w:t>since the nullity action had been previously dismissed in Navarra, TEVA and CINFA could not in a subsequent litigation before another court reopen the debate on the nullity of the patent, even if the nullity arguments were different</w:t>
      </w:r>
      <w:r w:rsidRPr="00B3314E">
        <w:rPr>
          <w:rFonts w:ascii="Arial" w:hAnsi="Arial" w:cs="Arial"/>
          <w:lang w:val="en-GB"/>
        </w:rPr>
        <w:t xml:space="preserve">. In the words of the </w:t>
      </w:r>
      <w:r w:rsidR="00046592">
        <w:rPr>
          <w:rFonts w:ascii="Arial" w:hAnsi="Arial" w:cs="Arial"/>
          <w:lang w:val="en-GB"/>
        </w:rPr>
        <w:t>Court</w:t>
      </w:r>
      <w:r w:rsidRPr="00B3314E">
        <w:rPr>
          <w:rFonts w:ascii="Arial" w:hAnsi="Arial" w:cs="Arial"/>
          <w:lang w:val="en-GB"/>
        </w:rPr>
        <w:t>: "</w:t>
      </w:r>
      <w:r w:rsidRPr="00B3314E">
        <w:rPr>
          <w:rFonts w:ascii="Arial" w:hAnsi="Arial" w:cs="Arial"/>
          <w:i/>
          <w:iCs/>
          <w:lang w:val="en-GB"/>
        </w:rPr>
        <w:t xml:space="preserve">What is decisive here is that nothing prevented it from having </w:t>
      </w:r>
      <w:r w:rsidR="00D93360">
        <w:rPr>
          <w:rFonts w:ascii="Arial" w:hAnsi="Arial" w:cs="Arial"/>
          <w:i/>
          <w:iCs/>
          <w:lang w:val="en-GB"/>
        </w:rPr>
        <w:t>alleged</w:t>
      </w:r>
      <w:r w:rsidRPr="00B3314E">
        <w:rPr>
          <w:rFonts w:ascii="Arial" w:hAnsi="Arial" w:cs="Arial"/>
          <w:i/>
          <w:iCs/>
          <w:lang w:val="en-GB"/>
        </w:rPr>
        <w:t xml:space="preserve"> </w:t>
      </w:r>
      <w:r w:rsidR="00046592">
        <w:rPr>
          <w:rFonts w:ascii="Arial" w:hAnsi="Arial" w:cs="Arial"/>
          <w:i/>
          <w:iCs/>
          <w:lang w:val="en-GB"/>
        </w:rPr>
        <w:t xml:space="preserve">at that time </w:t>
      </w:r>
      <w:r w:rsidRPr="00B3314E">
        <w:rPr>
          <w:rFonts w:ascii="Arial" w:hAnsi="Arial" w:cs="Arial"/>
          <w:i/>
          <w:iCs/>
          <w:lang w:val="en-GB"/>
        </w:rPr>
        <w:t xml:space="preserve">other grounds to try to support the nullity action it was bringing. Failure to do so implied the procedural impossibility of </w:t>
      </w:r>
      <w:r w:rsidR="00D93360">
        <w:rPr>
          <w:rFonts w:ascii="Arial" w:hAnsi="Arial" w:cs="Arial"/>
          <w:i/>
          <w:iCs/>
          <w:lang w:val="en-GB"/>
        </w:rPr>
        <w:t>alleging</w:t>
      </w:r>
      <w:r w:rsidRPr="00B3314E">
        <w:rPr>
          <w:rFonts w:ascii="Arial" w:hAnsi="Arial" w:cs="Arial"/>
          <w:i/>
          <w:iCs/>
          <w:lang w:val="en-GB"/>
        </w:rPr>
        <w:t xml:space="preserve"> them in the future in accordance with the provisions of Article 400 of the LEC</w:t>
      </w:r>
      <w:r w:rsidRPr="00B3314E">
        <w:rPr>
          <w:rFonts w:ascii="Arial" w:hAnsi="Arial" w:cs="Arial"/>
          <w:lang w:val="en-GB"/>
        </w:rPr>
        <w:t>".</w:t>
      </w:r>
    </w:p>
    <w:p w14:paraId="3EB72015" w14:textId="77777777" w:rsidR="007C7007" w:rsidRPr="00B3314E" w:rsidRDefault="00DC2E43" w:rsidP="00F55E2C">
      <w:pPr>
        <w:spacing w:after="0" w:line="312" w:lineRule="auto"/>
        <w:jc w:val="both"/>
        <w:rPr>
          <w:rFonts w:ascii="Arial" w:hAnsi="Arial" w:cs="Arial"/>
          <w:lang w:val="en-GB"/>
        </w:rPr>
      </w:pPr>
      <w:r w:rsidRPr="00B3314E">
        <w:rPr>
          <w:rFonts w:ascii="Arial" w:hAnsi="Arial" w:cs="Arial"/>
          <w:lang w:val="en-GB"/>
        </w:rPr>
        <w:t xml:space="preserve"> </w:t>
      </w:r>
    </w:p>
    <w:p w14:paraId="1256A371" w14:textId="77777777" w:rsidR="003744B6" w:rsidRPr="00B3314E" w:rsidRDefault="000F388B">
      <w:pPr>
        <w:spacing w:after="0" w:line="312" w:lineRule="auto"/>
        <w:jc w:val="both"/>
        <w:rPr>
          <w:rFonts w:ascii="Arial" w:hAnsi="Arial" w:cs="Arial"/>
          <w:b/>
          <w:bCs/>
          <w:lang w:val="en-GB"/>
        </w:rPr>
      </w:pPr>
      <w:r w:rsidRPr="00B3314E">
        <w:rPr>
          <w:rFonts w:ascii="Arial" w:hAnsi="Arial" w:cs="Arial"/>
          <w:b/>
          <w:bCs/>
          <w:lang w:val="en-GB"/>
        </w:rPr>
        <w:t xml:space="preserve">Claim for damages by the </w:t>
      </w:r>
      <w:r w:rsidR="005F41E2" w:rsidRPr="00B3314E">
        <w:rPr>
          <w:rFonts w:ascii="Arial" w:hAnsi="Arial" w:cs="Arial"/>
          <w:b/>
          <w:bCs/>
          <w:lang w:val="en-GB"/>
        </w:rPr>
        <w:t>owner/parent</w:t>
      </w:r>
      <w:r w:rsidR="00680AD0" w:rsidRPr="00B3314E">
        <w:rPr>
          <w:rFonts w:ascii="Arial" w:hAnsi="Arial" w:cs="Arial"/>
          <w:b/>
          <w:bCs/>
          <w:lang w:val="en-GB"/>
        </w:rPr>
        <w:t xml:space="preserve"> company </w:t>
      </w:r>
    </w:p>
    <w:p w14:paraId="20C8E96A" w14:textId="77777777" w:rsidR="00456063" w:rsidRPr="00B3314E" w:rsidRDefault="00456063" w:rsidP="00AB7C4B">
      <w:pPr>
        <w:spacing w:after="0" w:line="312" w:lineRule="auto"/>
        <w:jc w:val="both"/>
        <w:rPr>
          <w:rFonts w:ascii="Arial" w:hAnsi="Arial" w:cs="Arial"/>
          <w:b/>
          <w:bCs/>
          <w:highlight w:val="yellow"/>
          <w:lang w:val="en-GB"/>
        </w:rPr>
      </w:pPr>
    </w:p>
    <w:p w14:paraId="56AF464C" w14:textId="5897DBE7"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As for </w:t>
      </w:r>
      <w:r w:rsidR="00456063" w:rsidRPr="00B3314E">
        <w:rPr>
          <w:rFonts w:ascii="Arial" w:hAnsi="Arial" w:cs="Arial"/>
          <w:lang w:val="en-GB"/>
        </w:rPr>
        <w:t xml:space="preserve">compensation, the defendants TEVA and CINFA </w:t>
      </w:r>
      <w:r w:rsidRPr="00B3314E">
        <w:rPr>
          <w:rFonts w:ascii="Arial" w:hAnsi="Arial" w:cs="Arial"/>
          <w:lang w:val="en-GB"/>
        </w:rPr>
        <w:t xml:space="preserve">also argued that ELI LILLY, having assigned the </w:t>
      </w:r>
      <w:r w:rsidR="00456063" w:rsidRPr="00B3314E">
        <w:rPr>
          <w:rFonts w:ascii="Arial" w:hAnsi="Arial" w:cs="Arial"/>
          <w:lang w:val="en-GB"/>
        </w:rPr>
        <w:t xml:space="preserve">exploitation of the patent to its exclusive licensee DAIICHI, </w:t>
      </w:r>
      <w:r w:rsidRPr="00B3314E">
        <w:rPr>
          <w:rFonts w:ascii="Arial" w:hAnsi="Arial" w:cs="Arial"/>
          <w:lang w:val="en-GB"/>
        </w:rPr>
        <w:t xml:space="preserve">could not claim damages, but </w:t>
      </w:r>
      <w:r w:rsidR="0078666A">
        <w:rPr>
          <w:rFonts w:ascii="Arial" w:hAnsi="Arial" w:cs="Arial"/>
          <w:lang w:val="en-GB"/>
        </w:rPr>
        <w:t>rather</w:t>
      </w:r>
      <w:r w:rsidRPr="00B3314E">
        <w:rPr>
          <w:rFonts w:ascii="Arial" w:hAnsi="Arial" w:cs="Arial"/>
          <w:lang w:val="en-GB"/>
        </w:rPr>
        <w:t xml:space="preserve"> </w:t>
      </w:r>
      <w:r w:rsidR="00456063" w:rsidRPr="00B3314E">
        <w:rPr>
          <w:rFonts w:ascii="Arial" w:hAnsi="Arial" w:cs="Arial"/>
          <w:lang w:val="en-GB"/>
        </w:rPr>
        <w:t xml:space="preserve">in </w:t>
      </w:r>
      <w:r w:rsidR="0028346F">
        <w:rPr>
          <w:rFonts w:ascii="Arial" w:hAnsi="Arial" w:cs="Arial"/>
          <w:lang w:val="en-GB"/>
        </w:rPr>
        <w:t>such a</w:t>
      </w:r>
      <w:r w:rsidR="00456063" w:rsidRPr="00B3314E">
        <w:rPr>
          <w:rFonts w:ascii="Arial" w:hAnsi="Arial" w:cs="Arial"/>
          <w:lang w:val="en-GB"/>
        </w:rPr>
        <w:t xml:space="preserve"> case</w:t>
      </w:r>
      <w:r w:rsidR="0078666A">
        <w:rPr>
          <w:rFonts w:ascii="Arial" w:hAnsi="Arial" w:cs="Arial"/>
          <w:lang w:val="en-GB"/>
        </w:rPr>
        <w:t>,</w:t>
      </w:r>
      <w:r w:rsidR="00456063" w:rsidRPr="00B3314E">
        <w:rPr>
          <w:rFonts w:ascii="Arial" w:hAnsi="Arial" w:cs="Arial"/>
          <w:lang w:val="en-GB"/>
        </w:rPr>
        <w:t xml:space="preserve"> only DAIICHI should receive compensation.</w:t>
      </w:r>
    </w:p>
    <w:p w14:paraId="1D28B3B1" w14:textId="77777777" w:rsidR="002849DD" w:rsidRPr="00B3314E" w:rsidRDefault="002849DD" w:rsidP="00AB7C4B">
      <w:pPr>
        <w:spacing w:after="0" w:line="312" w:lineRule="auto"/>
        <w:jc w:val="both"/>
        <w:rPr>
          <w:rFonts w:ascii="Arial" w:hAnsi="Arial" w:cs="Arial"/>
          <w:lang w:val="en-GB"/>
        </w:rPr>
      </w:pPr>
    </w:p>
    <w:p w14:paraId="3D825E39" w14:textId="72954DB0"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However, the Court </w:t>
      </w:r>
      <w:r w:rsidR="00F515F9" w:rsidRPr="00B3314E">
        <w:rPr>
          <w:rFonts w:ascii="Arial" w:hAnsi="Arial" w:cs="Arial"/>
          <w:lang w:val="en-GB"/>
        </w:rPr>
        <w:t xml:space="preserve">rejected </w:t>
      </w:r>
      <w:r w:rsidR="005F41E2" w:rsidRPr="00B3314E">
        <w:rPr>
          <w:rFonts w:ascii="Arial" w:hAnsi="Arial" w:cs="Arial"/>
          <w:lang w:val="en-GB"/>
        </w:rPr>
        <w:t xml:space="preserve">this argument, understanding that </w:t>
      </w:r>
      <w:r w:rsidRPr="00B3314E">
        <w:rPr>
          <w:rFonts w:ascii="Arial" w:hAnsi="Arial" w:cs="Arial"/>
          <w:lang w:val="en-GB"/>
        </w:rPr>
        <w:t xml:space="preserve">ELI LILLY </w:t>
      </w:r>
      <w:r w:rsidR="005F41E2" w:rsidRPr="00B3314E">
        <w:rPr>
          <w:rFonts w:ascii="Arial" w:hAnsi="Arial" w:cs="Arial"/>
          <w:lang w:val="en-GB"/>
        </w:rPr>
        <w:t xml:space="preserve">had </w:t>
      </w:r>
      <w:r w:rsidR="00F55A75">
        <w:rPr>
          <w:rFonts w:ascii="Arial" w:hAnsi="Arial" w:cs="Arial"/>
          <w:lang w:val="en-GB"/>
        </w:rPr>
        <w:t>“its</w:t>
      </w:r>
      <w:r w:rsidR="005F41E2" w:rsidRPr="00B3314E">
        <w:rPr>
          <w:rFonts w:ascii="Arial" w:hAnsi="Arial" w:cs="Arial"/>
          <w:lang w:val="en-GB"/>
        </w:rPr>
        <w:t xml:space="preserve"> own compensatory interest" different from that of DAIICHI</w:t>
      </w:r>
      <w:r w:rsidRPr="00B3314E">
        <w:rPr>
          <w:rFonts w:ascii="Arial" w:hAnsi="Arial" w:cs="Arial"/>
          <w:lang w:val="en-GB"/>
        </w:rPr>
        <w:t>: "</w:t>
      </w:r>
      <w:r w:rsidRPr="00B3314E">
        <w:rPr>
          <w:rFonts w:ascii="Arial" w:hAnsi="Arial" w:cs="Arial"/>
          <w:i/>
          <w:iCs/>
          <w:lang w:val="en-GB"/>
        </w:rPr>
        <w:t xml:space="preserve">The </w:t>
      </w:r>
      <w:r w:rsidR="00F55A75">
        <w:rPr>
          <w:rFonts w:ascii="Arial" w:hAnsi="Arial" w:cs="Arial"/>
          <w:i/>
          <w:iCs/>
          <w:lang w:val="en-GB"/>
        </w:rPr>
        <w:t>owner</w:t>
      </w:r>
      <w:r w:rsidRPr="00B3314E">
        <w:rPr>
          <w:rFonts w:ascii="Arial" w:hAnsi="Arial" w:cs="Arial"/>
          <w:i/>
          <w:iCs/>
          <w:lang w:val="en-GB"/>
        </w:rPr>
        <w:t xml:space="preserve"> (...) in addition to its interest in defending the exclusive right, also has an interest in obtaining compensation, since (...) it participates in the result of the exploitation in Spain of the patented invention by supplying the licensee DAIICHI with the </w:t>
      </w:r>
      <w:r w:rsidR="00A93778">
        <w:rPr>
          <w:rFonts w:ascii="Arial" w:hAnsi="Arial" w:cs="Arial"/>
          <w:i/>
          <w:iCs/>
          <w:lang w:val="en-GB"/>
        </w:rPr>
        <w:t xml:space="preserve">product </w:t>
      </w:r>
      <w:r w:rsidRPr="00B3314E">
        <w:rPr>
          <w:rFonts w:ascii="Arial" w:hAnsi="Arial" w:cs="Arial"/>
          <w:i/>
          <w:iCs/>
          <w:lang w:val="en-GB"/>
        </w:rPr>
        <w:t>EVISTA</w:t>
      </w:r>
      <w:r w:rsidR="00462A0D" w:rsidRPr="00B3314E">
        <w:rPr>
          <w:rFonts w:ascii="Arial" w:hAnsi="Arial" w:cs="Arial"/>
          <w:i/>
          <w:iCs/>
          <w:lang w:val="en-GB"/>
        </w:rPr>
        <w:t>® (...)</w:t>
      </w:r>
      <w:r w:rsidRPr="00B3314E">
        <w:rPr>
          <w:rFonts w:ascii="Arial" w:hAnsi="Arial" w:cs="Arial"/>
          <w:i/>
          <w:iCs/>
          <w:lang w:val="en-GB"/>
        </w:rPr>
        <w:t xml:space="preserve">. </w:t>
      </w:r>
      <w:r w:rsidR="00680AD0" w:rsidRPr="00B3314E">
        <w:rPr>
          <w:rFonts w:ascii="Arial" w:hAnsi="Arial" w:cs="Arial"/>
          <w:i/>
          <w:iCs/>
          <w:lang w:val="en-GB"/>
        </w:rPr>
        <w:t xml:space="preserve">It is out of place to try to question that this co-plaintiff would be harmed by </w:t>
      </w:r>
      <w:r w:rsidRPr="00B3314E">
        <w:rPr>
          <w:rFonts w:ascii="Arial" w:hAnsi="Arial" w:cs="Arial"/>
          <w:i/>
          <w:iCs/>
          <w:lang w:val="en-GB"/>
        </w:rPr>
        <w:t xml:space="preserve">the reduction of sales that could have been caused in Spain due to the </w:t>
      </w:r>
      <w:r w:rsidR="00680AD0" w:rsidRPr="00B3314E">
        <w:rPr>
          <w:rFonts w:ascii="Arial" w:hAnsi="Arial" w:cs="Arial"/>
          <w:i/>
          <w:iCs/>
          <w:lang w:val="en-GB"/>
        </w:rPr>
        <w:t>infringement of the exclusive right</w:t>
      </w:r>
      <w:r w:rsidRPr="00B3314E">
        <w:rPr>
          <w:rFonts w:ascii="Arial" w:hAnsi="Arial" w:cs="Arial"/>
          <w:lang w:val="en-GB"/>
        </w:rPr>
        <w:t>".</w:t>
      </w:r>
    </w:p>
    <w:p w14:paraId="4D659124" w14:textId="77777777" w:rsidR="005F41E2" w:rsidRPr="00B3314E" w:rsidRDefault="005F41E2" w:rsidP="00AB7C4B">
      <w:pPr>
        <w:spacing w:after="0" w:line="312" w:lineRule="auto"/>
        <w:jc w:val="both"/>
        <w:rPr>
          <w:rFonts w:ascii="Arial" w:hAnsi="Arial" w:cs="Arial"/>
          <w:lang w:val="en-GB"/>
        </w:rPr>
      </w:pPr>
    </w:p>
    <w:p w14:paraId="29A9F778" w14:textId="77777777" w:rsidR="00462A0D" w:rsidRDefault="000F388B">
      <w:pPr>
        <w:spacing w:after="0" w:line="312" w:lineRule="auto"/>
        <w:jc w:val="both"/>
        <w:rPr>
          <w:rFonts w:ascii="Arial" w:hAnsi="Arial" w:cs="Arial"/>
          <w:lang w:val="en-GB"/>
        </w:rPr>
      </w:pPr>
      <w:r w:rsidRPr="00B3314E">
        <w:rPr>
          <w:rFonts w:ascii="Arial" w:hAnsi="Arial" w:cs="Arial"/>
          <w:lang w:val="en-GB"/>
        </w:rPr>
        <w:t xml:space="preserve">In addition, the Court noted that in the </w:t>
      </w:r>
      <w:r w:rsidR="00DC323C">
        <w:rPr>
          <w:rFonts w:ascii="Arial" w:hAnsi="Arial" w:cs="Arial"/>
          <w:lang w:val="en-GB"/>
        </w:rPr>
        <w:t>complaint</w:t>
      </w:r>
      <w:r w:rsidRPr="00B3314E">
        <w:rPr>
          <w:rFonts w:ascii="Arial" w:hAnsi="Arial" w:cs="Arial"/>
          <w:lang w:val="en-GB"/>
        </w:rPr>
        <w:t xml:space="preserve"> ELI LILLY had already </w:t>
      </w:r>
      <w:r w:rsidR="00462A0D" w:rsidRPr="00B3314E">
        <w:rPr>
          <w:rFonts w:ascii="Arial" w:hAnsi="Arial" w:cs="Arial"/>
          <w:lang w:val="en-GB"/>
        </w:rPr>
        <w:t xml:space="preserve">avoid duplicity in the </w:t>
      </w:r>
      <w:r w:rsidR="00462A0D">
        <w:rPr>
          <w:rFonts w:ascii="Arial" w:hAnsi="Arial" w:cs="Arial"/>
          <w:lang w:val="en-GB"/>
        </w:rPr>
        <w:t xml:space="preserve">damage’s compensation </w:t>
      </w:r>
      <w:r w:rsidR="00462A0D" w:rsidRPr="00B3314E">
        <w:rPr>
          <w:rFonts w:ascii="Arial" w:hAnsi="Arial" w:cs="Arial"/>
          <w:lang w:val="en-GB"/>
        </w:rPr>
        <w:t>claim</w:t>
      </w:r>
      <w:r w:rsidRPr="00B3314E">
        <w:rPr>
          <w:rFonts w:ascii="Arial" w:hAnsi="Arial" w:cs="Arial"/>
          <w:lang w:val="en-GB"/>
        </w:rPr>
        <w:t>.</w:t>
      </w:r>
      <w:r w:rsidR="00462A0D">
        <w:rPr>
          <w:rFonts w:ascii="Arial" w:hAnsi="Arial" w:cs="Arial"/>
          <w:lang w:val="en-GB"/>
        </w:rPr>
        <w:t xml:space="preserve"> </w:t>
      </w:r>
    </w:p>
    <w:p w14:paraId="01EB18F3" w14:textId="77777777" w:rsidR="00462A0D" w:rsidRDefault="00462A0D">
      <w:pPr>
        <w:spacing w:after="0" w:line="312" w:lineRule="auto"/>
        <w:jc w:val="both"/>
        <w:rPr>
          <w:rFonts w:ascii="Arial" w:hAnsi="Arial" w:cs="Arial"/>
          <w:lang w:val="en-GB"/>
        </w:rPr>
      </w:pPr>
    </w:p>
    <w:p w14:paraId="1105E22E" w14:textId="7887844B" w:rsidR="003744B6" w:rsidRDefault="000F388B">
      <w:pPr>
        <w:spacing w:after="0" w:line="312" w:lineRule="auto"/>
        <w:jc w:val="both"/>
        <w:rPr>
          <w:rFonts w:ascii="Arial" w:hAnsi="Arial" w:cs="Arial"/>
          <w:lang w:val="en-GB"/>
        </w:rPr>
      </w:pPr>
      <w:r w:rsidRPr="00B3314E">
        <w:rPr>
          <w:rFonts w:ascii="Arial" w:hAnsi="Arial" w:cs="Arial"/>
          <w:lang w:val="en-GB"/>
        </w:rPr>
        <w:t xml:space="preserve">For this purpose, ELI LILLY had requested </w:t>
      </w:r>
      <w:r w:rsidR="007A041C" w:rsidRPr="00B3314E">
        <w:rPr>
          <w:rFonts w:ascii="Arial" w:hAnsi="Arial" w:cs="Arial"/>
          <w:lang w:val="en-GB"/>
        </w:rPr>
        <w:t xml:space="preserve">-and this was the criterion accepted by the court- </w:t>
      </w:r>
      <w:r w:rsidRPr="00B3314E">
        <w:rPr>
          <w:rFonts w:ascii="Arial" w:hAnsi="Arial" w:cs="Arial"/>
          <w:lang w:val="en-GB"/>
        </w:rPr>
        <w:t>that the damages be quantified according to the criterion of the profit obtained by TEVA and CINFA from the sales of each unit of its generic Raloxifene drugs but limited to all those units which, if they had not been marketed by the defendants, would not have been attributable to DAIICHI's EVISTA® product</w:t>
      </w:r>
      <w:r w:rsidR="006E566D">
        <w:rPr>
          <w:rFonts w:ascii="Arial" w:hAnsi="Arial" w:cs="Arial"/>
          <w:lang w:val="en-GB"/>
        </w:rPr>
        <w:t xml:space="preserve"> and</w:t>
      </w:r>
      <w:r w:rsidRPr="00B3314E">
        <w:rPr>
          <w:rFonts w:ascii="Arial" w:hAnsi="Arial" w:cs="Arial"/>
          <w:lang w:val="en-GB"/>
        </w:rPr>
        <w:t xml:space="preserve">, </w:t>
      </w:r>
      <w:r w:rsidR="006E566D">
        <w:rPr>
          <w:rFonts w:ascii="Arial" w:hAnsi="Arial" w:cs="Arial"/>
          <w:lang w:val="en-GB"/>
        </w:rPr>
        <w:t>subsidiarily</w:t>
      </w:r>
      <w:r w:rsidRPr="00B3314E">
        <w:rPr>
          <w:rFonts w:ascii="Arial" w:hAnsi="Arial" w:cs="Arial"/>
          <w:lang w:val="en-GB"/>
        </w:rPr>
        <w:t xml:space="preserve">, in the event that DAIICHI's claim for damages was dismissed, what ELI LILLY </w:t>
      </w:r>
      <w:r w:rsidR="006E566D">
        <w:rPr>
          <w:rFonts w:ascii="Arial" w:hAnsi="Arial" w:cs="Arial"/>
          <w:lang w:val="en-GB"/>
        </w:rPr>
        <w:t>claimed</w:t>
      </w:r>
      <w:r w:rsidRPr="00B3314E">
        <w:rPr>
          <w:rFonts w:ascii="Arial" w:hAnsi="Arial" w:cs="Arial"/>
          <w:lang w:val="en-GB"/>
        </w:rPr>
        <w:t xml:space="preserve"> was the profit obtained by the defendants for all the units of generic drugs marketed by TEVA and CINFA.</w:t>
      </w:r>
    </w:p>
    <w:p w14:paraId="38FE3822" w14:textId="77777777" w:rsidR="009D38D4" w:rsidRPr="00B3314E" w:rsidRDefault="009D38D4">
      <w:pPr>
        <w:spacing w:after="0" w:line="312" w:lineRule="auto"/>
        <w:jc w:val="both"/>
        <w:rPr>
          <w:rFonts w:ascii="Arial" w:hAnsi="Arial" w:cs="Arial"/>
          <w:lang w:val="en-GB"/>
        </w:rPr>
      </w:pPr>
    </w:p>
    <w:p w14:paraId="29C2C778" w14:textId="3328E4BD" w:rsidR="003744B6" w:rsidRPr="00B3314E" w:rsidRDefault="000F388B">
      <w:pPr>
        <w:spacing w:after="0" w:line="312" w:lineRule="auto"/>
        <w:jc w:val="both"/>
        <w:rPr>
          <w:rFonts w:ascii="Arial" w:hAnsi="Arial" w:cs="Arial"/>
          <w:b/>
          <w:bCs/>
          <w:lang w:val="en-GB"/>
        </w:rPr>
      </w:pPr>
      <w:r w:rsidRPr="00B3314E">
        <w:rPr>
          <w:rFonts w:ascii="Arial" w:hAnsi="Arial" w:cs="Arial"/>
          <w:b/>
          <w:bCs/>
          <w:lang w:val="en-GB"/>
        </w:rPr>
        <w:lastRenderedPageBreak/>
        <w:t>Calculation of damages claimed by the exclusive licensee (DAIICHI) and liability of the first generic laboratory to launch "at risk"</w:t>
      </w:r>
    </w:p>
    <w:p w14:paraId="306B0862" w14:textId="77777777" w:rsidR="00AB7C4B" w:rsidRPr="00B3314E" w:rsidRDefault="00AB7C4B" w:rsidP="00F55E2C">
      <w:pPr>
        <w:spacing w:after="0" w:line="312" w:lineRule="auto"/>
        <w:jc w:val="both"/>
        <w:rPr>
          <w:rFonts w:ascii="Arial" w:hAnsi="Arial" w:cs="Arial"/>
          <w:lang w:val="en-GB"/>
        </w:rPr>
      </w:pPr>
    </w:p>
    <w:p w14:paraId="152D5D83" w14:textId="182338F1" w:rsidR="003744B6" w:rsidRPr="00B3314E" w:rsidRDefault="00462A0D">
      <w:pPr>
        <w:spacing w:after="0" w:line="312" w:lineRule="auto"/>
        <w:jc w:val="both"/>
        <w:rPr>
          <w:rFonts w:ascii="Arial" w:hAnsi="Arial" w:cs="Arial"/>
          <w:lang w:val="en-GB"/>
        </w:rPr>
      </w:pPr>
      <w:r>
        <w:rPr>
          <w:rFonts w:ascii="Arial" w:hAnsi="Arial" w:cs="Arial"/>
          <w:lang w:val="en-GB"/>
        </w:rPr>
        <w:t>On the other side,</w:t>
      </w:r>
      <w:r w:rsidR="000F388B" w:rsidRPr="00B3314E">
        <w:rPr>
          <w:rFonts w:ascii="Arial" w:hAnsi="Arial" w:cs="Arial"/>
          <w:lang w:val="en-GB"/>
        </w:rPr>
        <w:t xml:space="preserve"> DAIICHI claimed the payment of damages according to the profits it would have foreseeably obtained from the exploitation of the invention had there been no infringement by TEVA and CINFA and differentiating</w:t>
      </w:r>
      <w:r w:rsidR="00F762AA" w:rsidRPr="00B3314E">
        <w:rPr>
          <w:rFonts w:ascii="Arial" w:hAnsi="Arial" w:cs="Arial"/>
          <w:lang w:val="en-GB"/>
        </w:rPr>
        <w:t xml:space="preserve">, </w:t>
      </w:r>
      <w:r w:rsidR="000F388B" w:rsidRPr="00B3314E">
        <w:rPr>
          <w:rFonts w:ascii="Arial" w:hAnsi="Arial" w:cs="Arial"/>
          <w:lang w:val="en-GB"/>
        </w:rPr>
        <w:t xml:space="preserve">within this criterion, a direct loss of profits (due to the effects of the reduction of the share and price of its original drug EVISTA®, as we will see below) </w:t>
      </w:r>
      <w:r w:rsidR="00F762AA" w:rsidRPr="00B3314E">
        <w:rPr>
          <w:rFonts w:ascii="Arial" w:hAnsi="Arial" w:cs="Arial"/>
          <w:lang w:val="en-GB"/>
        </w:rPr>
        <w:t xml:space="preserve">and </w:t>
      </w:r>
      <w:r w:rsidR="00E832EF" w:rsidRPr="00B3314E">
        <w:rPr>
          <w:rFonts w:ascii="Arial" w:hAnsi="Arial" w:cs="Arial"/>
          <w:lang w:val="en-GB"/>
        </w:rPr>
        <w:t xml:space="preserve">an </w:t>
      </w:r>
      <w:r w:rsidR="000F388B" w:rsidRPr="00B3314E">
        <w:rPr>
          <w:rFonts w:ascii="Arial" w:hAnsi="Arial" w:cs="Arial"/>
          <w:lang w:val="en-GB"/>
        </w:rPr>
        <w:t xml:space="preserve">indirect </w:t>
      </w:r>
      <w:r w:rsidR="00F762AA" w:rsidRPr="00B3314E">
        <w:rPr>
          <w:rFonts w:ascii="Arial" w:hAnsi="Arial" w:cs="Arial"/>
          <w:lang w:val="en-GB"/>
        </w:rPr>
        <w:t xml:space="preserve">loss of profits </w:t>
      </w:r>
      <w:r w:rsidR="000F388B" w:rsidRPr="00B3314E">
        <w:rPr>
          <w:rFonts w:ascii="Arial" w:hAnsi="Arial" w:cs="Arial"/>
          <w:lang w:val="en-GB"/>
        </w:rPr>
        <w:t>(corresponding to the losses derived from the reduction of the net result of its subsidiary DAIICHI SANKYO ESPAÑA, S.A. as a consequence of the infringement).</w:t>
      </w:r>
    </w:p>
    <w:p w14:paraId="08693021" w14:textId="77777777" w:rsidR="007A041C" w:rsidRPr="00B3314E" w:rsidRDefault="007A041C" w:rsidP="00D213E3">
      <w:pPr>
        <w:spacing w:after="0" w:line="312" w:lineRule="auto"/>
        <w:jc w:val="both"/>
        <w:rPr>
          <w:rFonts w:ascii="Arial" w:hAnsi="Arial" w:cs="Arial"/>
          <w:lang w:val="en-GB"/>
        </w:rPr>
      </w:pPr>
    </w:p>
    <w:p w14:paraId="466804AE" w14:textId="33B68360" w:rsidR="003744B6" w:rsidRPr="00B3314E" w:rsidRDefault="00462A0D">
      <w:pPr>
        <w:spacing w:after="0" w:line="312" w:lineRule="auto"/>
        <w:jc w:val="both"/>
        <w:rPr>
          <w:rFonts w:ascii="Arial" w:hAnsi="Arial" w:cs="Arial"/>
          <w:lang w:val="en-GB"/>
        </w:rPr>
      </w:pPr>
      <w:r w:rsidRPr="00B3314E">
        <w:rPr>
          <w:rFonts w:ascii="Arial" w:hAnsi="Arial" w:cs="Arial"/>
          <w:lang w:val="en-GB"/>
        </w:rPr>
        <w:t>Regarding</w:t>
      </w:r>
      <w:r w:rsidR="000F388B" w:rsidRPr="00B3314E">
        <w:rPr>
          <w:rFonts w:ascii="Arial" w:hAnsi="Arial" w:cs="Arial"/>
          <w:lang w:val="en-GB"/>
        </w:rPr>
        <w:t xml:space="preserve"> direct </w:t>
      </w:r>
      <w:r w:rsidR="00D744EC">
        <w:rPr>
          <w:rFonts w:ascii="Arial" w:hAnsi="Arial" w:cs="Arial"/>
          <w:lang w:val="en-GB"/>
        </w:rPr>
        <w:t>lost</w:t>
      </w:r>
      <w:r w:rsidR="000F388B" w:rsidRPr="00B3314E">
        <w:rPr>
          <w:rFonts w:ascii="Arial" w:hAnsi="Arial" w:cs="Arial"/>
          <w:lang w:val="en-GB"/>
        </w:rPr>
        <w:t xml:space="preserve"> profit, DAIICHI differentiated</w:t>
      </w:r>
      <w:r>
        <w:rPr>
          <w:rFonts w:ascii="Arial" w:hAnsi="Arial" w:cs="Arial"/>
          <w:lang w:val="en-GB"/>
        </w:rPr>
        <w:t xml:space="preserve"> </w:t>
      </w:r>
      <w:r w:rsidR="000F388B" w:rsidRPr="00B3314E">
        <w:rPr>
          <w:rFonts w:ascii="Arial" w:hAnsi="Arial" w:cs="Arial"/>
          <w:lang w:val="en-GB"/>
        </w:rPr>
        <w:t>two main items for the calculation of damages</w:t>
      </w:r>
      <w:r w:rsidR="00E832EF" w:rsidRPr="00B3314E">
        <w:rPr>
          <w:rFonts w:ascii="Arial" w:hAnsi="Arial" w:cs="Arial"/>
          <w:lang w:val="en-GB"/>
        </w:rPr>
        <w:t xml:space="preserve">, which it called "effect of </w:t>
      </w:r>
      <w:r w:rsidR="00CA5D37" w:rsidRPr="00B3314E">
        <w:rPr>
          <w:rFonts w:ascii="Arial" w:hAnsi="Arial" w:cs="Arial"/>
          <w:lang w:val="en-GB"/>
        </w:rPr>
        <w:t xml:space="preserve">(market) </w:t>
      </w:r>
      <w:r w:rsidR="00E832EF" w:rsidRPr="00B3314E">
        <w:rPr>
          <w:rFonts w:ascii="Arial" w:hAnsi="Arial" w:cs="Arial"/>
          <w:lang w:val="en-GB"/>
        </w:rPr>
        <w:t>share</w:t>
      </w:r>
      <w:r w:rsidR="00036F72">
        <w:rPr>
          <w:rFonts w:ascii="Arial" w:hAnsi="Arial" w:cs="Arial"/>
          <w:lang w:val="en-GB"/>
        </w:rPr>
        <w:t xml:space="preserve"> reduction</w:t>
      </w:r>
      <w:r w:rsidR="00E832EF" w:rsidRPr="00B3314E">
        <w:rPr>
          <w:rFonts w:ascii="Arial" w:hAnsi="Arial" w:cs="Arial"/>
          <w:lang w:val="en-GB"/>
        </w:rPr>
        <w:t xml:space="preserve">" and "effect of price reduction", respectively. </w:t>
      </w:r>
    </w:p>
    <w:p w14:paraId="1F8864E0" w14:textId="77777777" w:rsidR="00DB5F78" w:rsidRPr="00B3314E" w:rsidRDefault="00DB5F78" w:rsidP="00823D2E">
      <w:pPr>
        <w:spacing w:after="0" w:line="312" w:lineRule="auto"/>
        <w:jc w:val="both"/>
        <w:rPr>
          <w:rFonts w:ascii="Arial" w:hAnsi="Arial" w:cs="Arial"/>
          <w:lang w:val="en-GB"/>
        </w:rPr>
      </w:pPr>
    </w:p>
    <w:p w14:paraId="4E929ACC" w14:textId="3052F616" w:rsidR="003744B6" w:rsidRDefault="000F388B">
      <w:pPr>
        <w:pStyle w:val="Lijstalinea"/>
        <w:numPr>
          <w:ilvl w:val="0"/>
          <w:numId w:val="23"/>
        </w:numPr>
        <w:spacing w:after="0" w:line="312" w:lineRule="auto"/>
        <w:jc w:val="both"/>
        <w:rPr>
          <w:rFonts w:ascii="Arial" w:hAnsi="Arial" w:cs="Arial"/>
          <w:u w:val="single"/>
          <w:lang w:val="es-ES"/>
        </w:rPr>
      </w:pPr>
      <w:r w:rsidRPr="002C0C43">
        <w:rPr>
          <w:rFonts w:ascii="Arial" w:hAnsi="Arial" w:cs="Arial"/>
          <w:u w:val="single"/>
          <w:lang w:val="es-ES"/>
        </w:rPr>
        <w:t>"</w:t>
      </w:r>
      <w:r w:rsidR="00272194">
        <w:rPr>
          <w:rFonts w:ascii="Arial" w:hAnsi="Arial" w:cs="Arial"/>
          <w:u w:val="single"/>
          <w:lang w:val="es-ES"/>
        </w:rPr>
        <w:t>Share</w:t>
      </w:r>
      <w:r w:rsidRPr="002C0C43">
        <w:rPr>
          <w:rFonts w:ascii="Arial" w:hAnsi="Arial" w:cs="Arial"/>
          <w:u w:val="single"/>
          <w:lang w:val="es-ES"/>
        </w:rPr>
        <w:t xml:space="preserve"> reduction effect" </w:t>
      </w:r>
    </w:p>
    <w:p w14:paraId="69497181" w14:textId="77777777" w:rsidR="00DB5F78" w:rsidRDefault="00DB5F78" w:rsidP="00823D2E">
      <w:pPr>
        <w:spacing w:after="0" w:line="312" w:lineRule="auto"/>
        <w:jc w:val="both"/>
        <w:rPr>
          <w:rFonts w:ascii="Arial" w:hAnsi="Arial" w:cs="Arial"/>
          <w:lang w:val="es-ES"/>
        </w:rPr>
      </w:pPr>
    </w:p>
    <w:p w14:paraId="41944332" w14:textId="38803156"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Based on this criterion, the Court had jointly and severally </w:t>
      </w:r>
      <w:r w:rsidR="00AB3F45">
        <w:rPr>
          <w:rFonts w:ascii="Arial" w:hAnsi="Arial" w:cs="Arial"/>
          <w:lang w:val="en-GB"/>
        </w:rPr>
        <w:t>sentenced</w:t>
      </w:r>
      <w:r w:rsidRPr="00B3314E">
        <w:rPr>
          <w:rFonts w:ascii="Arial" w:hAnsi="Arial" w:cs="Arial"/>
          <w:lang w:val="en-GB"/>
        </w:rPr>
        <w:t xml:space="preserve"> CINFA and TEVA for the profits that DAIICHI would have obtained from the </w:t>
      </w:r>
      <w:r w:rsidR="00C5305F">
        <w:rPr>
          <w:rFonts w:ascii="Arial" w:hAnsi="Arial" w:cs="Arial"/>
          <w:lang w:val="en-GB"/>
        </w:rPr>
        <w:t>marketing</w:t>
      </w:r>
      <w:r w:rsidRPr="00B3314E">
        <w:rPr>
          <w:rFonts w:ascii="Arial" w:hAnsi="Arial" w:cs="Arial"/>
          <w:lang w:val="en-GB"/>
        </w:rPr>
        <w:t xml:space="preserve"> in Spain of that part of the generic Raloxifene drugs that, had there been no infringement, would have been assumed by the original drug EVISTA®.</w:t>
      </w:r>
    </w:p>
    <w:p w14:paraId="6FE2AD21" w14:textId="77777777" w:rsidR="00CA5D37" w:rsidRPr="00B3314E" w:rsidRDefault="00CA5D37" w:rsidP="00CA5D37">
      <w:pPr>
        <w:spacing w:after="0" w:line="312" w:lineRule="auto"/>
        <w:jc w:val="both"/>
        <w:rPr>
          <w:rFonts w:ascii="Arial" w:hAnsi="Arial" w:cs="Arial"/>
          <w:lang w:val="en-GB"/>
        </w:rPr>
      </w:pPr>
    </w:p>
    <w:p w14:paraId="6618AE44" w14:textId="00E1723A"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In response, </w:t>
      </w:r>
      <w:r w:rsidR="007E4D10" w:rsidRPr="00B3314E">
        <w:rPr>
          <w:rFonts w:ascii="Arial" w:hAnsi="Arial" w:cs="Arial"/>
          <w:lang w:val="en-GB"/>
        </w:rPr>
        <w:t>the defendant CINFA argued</w:t>
      </w:r>
      <w:r w:rsidRPr="00B3314E">
        <w:rPr>
          <w:rFonts w:ascii="Arial" w:hAnsi="Arial" w:cs="Arial"/>
          <w:lang w:val="en-GB"/>
        </w:rPr>
        <w:t xml:space="preserve">, with respect to the </w:t>
      </w:r>
      <w:r w:rsidR="007775C2">
        <w:rPr>
          <w:rFonts w:ascii="Arial" w:hAnsi="Arial" w:cs="Arial"/>
          <w:lang w:val="en-GB"/>
        </w:rPr>
        <w:t>compensation</w:t>
      </w:r>
      <w:r w:rsidRPr="00B3314E">
        <w:rPr>
          <w:rFonts w:ascii="Arial" w:hAnsi="Arial" w:cs="Arial"/>
          <w:lang w:val="en-GB"/>
        </w:rPr>
        <w:t xml:space="preserve"> period, </w:t>
      </w:r>
      <w:r w:rsidR="00A24652" w:rsidRPr="00B3314E">
        <w:rPr>
          <w:rFonts w:ascii="Arial" w:hAnsi="Arial" w:cs="Arial"/>
          <w:lang w:val="en-GB"/>
        </w:rPr>
        <w:t xml:space="preserve">that it could not be </w:t>
      </w:r>
      <w:r w:rsidR="007E4D10" w:rsidRPr="00B3314E">
        <w:rPr>
          <w:rFonts w:ascii="Arial" w:hAnsi="Arial" w:cs="Arial"/>
          <w:lang w:val="en-GB"/>
        </w:rPr>
        <w:t xml:space="preserve">held </w:t>
      </w:r>
      <w:r w:rsidR="00A24652" w:rsidRPr="00B3314E">
        <w:rPr>
          <w:rFonts w:ascii="Arial" w:hAnsi="Arial" w:cs="Arial"/>
          <w:lang w:val="en-GB"/>
        </w:rPr>
        <w:t xml:space="preserve">liable to pay damages </w:t>
      </w:r>
      <w:r w:rsidR="007E4D10" w:rsidRPr="00B3314E">
        <w:rPr>
          <w:rFonts w:ascii="Arial" w:hAnsi="Arial" w:cs="Arial"/>
          <w:lang w:val="en-GB"/>
        </w:rPr>
        <w:t xml:space="preserve">beyond August 5, </w:t>
      </w:r>
      <w:r w:rsidR="00DB5F78" w:rsidRPr="00B3314E">
        <w:rPr>
          <w:rFonts w:ascii="Arial" w:hAnsi="Arial" w:cs="Arial"/>
          <w:lang w:val="en-GB"/>
        </w:rPr>
        <w:t xml:space="preserve">2012, the </w:t>
      </w:r>
      <w:r w:rsidR="00F81456" w:rsidRPr="00B3314E">
        <w:rPr>
          <w:rFonts w:ascii="Arial" w:hAnsi="Arial" w:cs="Arial"/>
          <w:lang w:val="en-GB"/>
        </w:rPr>
        <w:t xml:space="preserve">date from </w:t>
      </w:r>
      <w:r w:rsidR="00DB5F78" w:rsidRPr="00B3314E">
        <w:rPr>
          <w:rFonts w:ascii="Arial" w:hAnsi="Arial" w:cs="Arial"/>
          <w:lang w:val="en-GB"/>
        </w:rPr>
        <w:t xml:space="preserve">which other laboratories (STADA, SANDOZ, RATIOPHARM, etc. </w:t>
      </w:r>
      <w:r w:rsidR="00DC6C2C">
        <w:rPr>
          <w:rFonts w:ascii="Arial" w:hAnsi="Arial" w:cs="Arial"/>
          <w:lang w:val="en-GB"/>
        </w:rPr>
        <w:t>which</w:t>
      </w:r>
      <w:r w:rsidR="007E4D10" w:rsidRPr="00B3314E">
        <w:rPr>
          <w:rFonts w:ascii="Arial" w:hAnsi="Arial" w:cs="Arial"/>
          <w:lang w:val="en-GB"/>
        </w:rPr>
        <w:t xml:space="preserve"> had not been sued</w:t>
      </w:r>
      <w:r w:rsidR="00DB5F78" w:rsidRPr="00B3314E">
        <w:rPr>
          <w:rFonts w:ascii="Arial" w:hAnsi="Arial" w:cs="Arial"/>
          <w:lang w:val="en-GB"/>
        </w:rPr>
        <w:t xml:space="preserve">) were launching their generic </w:t>
      </w:r>
      <w:r w:rsidR="00F81456" w:rsidRPr="00B3314E">
        <w:rPr>
          <w:rFonts w:ascii="Arial" w:hAnsi="Arial" w:cs="Arial"/>
          <w:lang w:val="en-GB"/>
        </w:rPr>
        <w:t xml:space="preserve">Raloxifene </w:t>
      </w:r>
      <w:r w:rsidR="00DB5F78" w:rsidRPr="00B3314E">
        <w:rPr>
          <w:rFonts w:ascii="Arial" w:hAnsi="Arial" w:cs="Arial"/>
          <w:lang w:val="en-GB"/>
        </w:rPr>
        <w:t xml:space="preserve">drugs </w:t>
      </w:r>
      <w:r w:rsidR="00DC6C2C">
        <w:rPr>
          <w:rFonts w:ascii="Arial" w:hAnsi="Arial" w:cs="Arial"/>
          <w:lang w:val="en-GB"/>
        </w:rPr>
        <w:t>into</w:t>
      </w:r>
      <w:r w:rsidR="00DB5F78" w:rsidRPr="00B3314E">
        <w:rPr>
          <w:rFonts w:ascii="Arial" w:hAnsi="Arial" w:cs="Arial"/>
          <w:lang w:val="en-GB"/>
        </w:rPr>
        <w:t xml:space="preserve"> the market</w:t>
      </w:r>
      <w:r w:rsidR="0072414E" w:rsidRPr="00B3314E">
        <w:rPr>
          <w:rFonts w:ascii="Arial" w:hAnsi="Arial" w:cs="Arial"/>
          <w:lang w:val="en-GB"/>
        </w:rPr>
        <w:t xml:space="preserve">, </w:t>
      </w:r>
      <w:r w:rsidR="007E4D10" w:rsidRPr="00B3314E">
        <w:rPr>
          <w:rFonts w:ascii="Arial" w:hAnsi="Arial" w:cs="Arial"/>
          <w:lang w:val="en-GB"/>
        </w:rPr>
        <w:t>prior to the expiration date of the patent (August 5, 2013).</w:t>
      </w:r>
    </w:p>
    <w:p w14:paraId="5BE25A77" w14:textId="77777777" w:rsidR="00303C09" w:rsidRPr="00B3314E" w:rsidRDefault="00303C09" w:rsidP="00823D2E">
      <w:pPr>
        <w:spacing w:after="0" w:line="312" w:lineRule="auto"/>
        <w:jc w:val="both"/>
        <w:rPr>
          <w:rFonts w:ascii="Arial" w:hAnsi="Arial" w:cs="Arial"/>
          <w:lang w:val="en-GB"/>
        </w:rPr>
      </w:pPr>
    </w:p>
    <w:p w14:paraId="15B5796D" w14:textId="2A76B929"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In particular, CINFA argued that </w:t>
      </w:r>
      <w:r w:rsidR="006C4B6A">
        <w:rPr>
          <w:rFonts w:ascii="Arial" w:hAnsi="Arial" w:cs="Arial"/>
          <w:lang w:val="en-GB"/>
        </w:rPr>
        <w:t xml:space="preserve">one could not assume </w:t>
      </w:r>
      <w:r w:rsidRPr="00B3314E">
        <w:rPr>
          <w:rFonts w:ascii="Arial" w:hAnsi="Arial" w:cs="Arial"/>
          <w:lang w:val="en-GB"/>
        </w:rPr>
        <w:t xml:space="preserve">the hypothesis that what TEVA and CINFA sold could not have been sold by the rest of the non-defendant laboratories. According to CINFA, it would be more logical to consider that the other generic companies, and not just DAIICHI, would have sold more product. </w:t>
      </w:r>
    </w:p>
    <w:p w14:paraId="6DFFF72D" w14:textId="77777777" w:rsidR="00303C09" w:rsidRPr="00B3314E" w:rsidRDefault="00303C09" w:rsidP="00823D2E">
      <w:pPr>
        <w:spacing w:after="0" w:line="312" w:lineRule="auto"/>
        <w:jc w:val="both"/>
        <w:rPr>
          <w:rFonts w:ascii="Arial" w:hAnsi="Arial" w:cs="Arial"/>
          <w:lang w:val="en-GB"/>
        </w:rPr>
      </w:pPr>
    </w:p>
    <w:p w14:paraId="0FBA7C7A" w14:textId="07789694" w:rsidR="003744B6" w:rsidRPr="00B3314E" w:rsidRDefault="000F388B">
      <w:pPr>
        <w:spacing w:after="0" w:line="312" w:lineRule="auto"/>
        <w:jc w:val="both"/>
        <w:rPr>
          <w:rFonts w:ascii="Arial" w:hAnsi="Arial" w:cs="Arial"/>
          <w:lang w:val="en-GB"/>
        </w:rPr>
      </w:pPr>
      <w:r w:rsidRPr="00B3314E">
        <w:rPr>
          <w:rFonts w:ascii="Arial" w:hAnsi="Arial" w:cs="Arial"/>
          <w:lang w:val="en-GB"/>
        </w:rPr>
        <w:t>However, the Court reject</w:t>
      </w:r>
      <w:r w:rsidR="007775C2">
        <w:rPr>
          <w:rFonts w:ascii="Arial" w:hAnsi="Arial" w:cs="Arial"/>
          <w:lang w:val="en-GB"/>
        </w:rPr>
        <w:t>ed</w:t>
      </w:r>
      <w:r w:rsidRPr="00B3314E">
        <w:rPr>
          <w:rFonts w:ascii="Arial" w:hAnsi="Arial" w:cs="Arial"/>
          <w:lang w:val="en-GB"/>
        </w:rPr>
        <w:t xml:space="preserve"> this approach and considers that </w:t>
      </w:r>
      <w:r w:rsidR="00823D2E" w:rsidRPr="00B3314E">
        <w:rPr>
          <w:rFonts w:ascii="Arial" w:hAnsi="Arial" w:cs="Arial"/>
          <w:lang w:val="en-GB"/>
        </w:rPr>
        <w:t>the frustrated sales of DAIICHI</w:t>
      </w:r>
      <w:r w:rsidR="00B56494">
        <w:rPr>
          <w:rFonts w:ascii="Arial" w:hAnsi="Arial" w:cs="Arial"/>
          <w:lang w:val="en-GB"/>
        </w:rPr>
        <w:t>’s</w:t>
      </w:r>
      <w:r w:rsidR="00823D2E" w:rsidRPr="00B3314E">
        <w:rPr>
          <w:rFonts w:ascii="Arial" w:hAnsi="Arial" w:cs="Arial"/>
          <w:lang w:val="en-GB"/>
        </w:rPr>
        <w:t xml:space="preserve"> </w:t>
      </w:r>
      <w:r w:rsidR="00F81456" w:rsidRPr="00B3314E">
        <w:rPr>
          <w:rFonts w:ascii="Arial" w:hAnsi="Arial" w:cs="Arial"/>
          <w:lang w:val="en-GB"/>
        </w:rPr>
        <w:t xml:space="preserve">drugs </w:t>
      </w:r>
      <w:r w:rsidR="00823D2E" w:rsidRPr="00B3314E">
        <w:rPr>
          <w:rFonts w:ascii="Arial" w:hAnsi="Arial" w:cs="Arial"/>
          <w:lang w:val="en-GB"/>
        </w:rPr>
        <w:t xml:space="preserve">were due to the </w:t>
      </w:r>
      <w:r w:rsidRPr="00B3314E">
        <w:rPr>
          <w:rFonts w:ascii="Arial" w:hAnsi="Arial" w:cs="Arial"/>
          <w:lang w:val="en-GB"/>
        </w:rPr>
        <w:t>"</w:t>
      </w:r>
      <w:r w:rsidR="00B56494">
        <w:rPr>
          <w:rFonts w:ascii="Arial" w:hAnsi="Arial" w:cs="Arial"/>
          <w:lang w:val="en-GB"/>
        </w:rPr>
        <w:t>at risk</w:t>
      </w:r>
      <w:r w:rsidRPr="00B3314E">
        <w:rPr>
          <w:rFonts w:ascii="Arial" w:hAnsi="Arial" w:cs="Arial"/>
          <w:lang w:val="en-GB"/>
        </w:rPr>
        <w:t xml:space="preserve">" launches of </w:t>
      </w:r>
      <w:r w:rsidR="00823D2E" w:rsidRPr="00B3314E">
        <w:rPr>
          <w:rFonts w:ascii="Arial" w:hAnsi="Arial" w:cs="Arial"/>
          <w:lang w:val="en-GB"/>
        </w:rPr>
        <w:t xml:space="preserve">CINFA and TEVA, whose </w:t>
      </w:r>
      <w:r w:rsidR="006947EC" w:rsidRPr="00B3314E">
        <w:rPr>
          <w:rFonts w:ascii="Arial" w:hAnsi="Arial" w:cs="Arial"/>
          <w:lang w:val="en-GB"/>
        </w:rPr>
        <w:t xml:space="preserve">market </w:t>
      </w:r>
      <w:r w:rsidR="00823D2E" w:rsidRPr="00B3314E">
        <w:rPr>
          <w:rFonts w:ascii="Arial" w:hAnsi="Arial" w:cs="Arial"/>
          <w:lang w:val="en-GB"/>
        </w:rPr>
        <w:t xml:space="preserve">shares </w:t>
      </w:r>
      <w:r w:rsidRPr="00B3314E">
        <w:rPr>
          <w:rFonts w:ascii="Arial" w:hAnsi="Arial" w:cs="Arial"/>
          <w:lang w:val="en-GB"/>
        </w:rPr>
        <w:t xml:space="preserve">were progressively increasing. </w:t>
      </w:r>
    </w:p>
    <w:p w14:paraId="00460301" w14:textId="77777777" w:rsidR="00303C09" w:rsidRPr="00B3314E" w:rsidRDefault="00303C09" w:rsidP="004171A7">
      <w:pPr>
        <w:spacing w:after="0" w:line="312" w:lineRule="auto"/>
        <w:jc w:val="both"/>
        <w:rPr>
          <w:rFonts w:ascii="Arial" w:hAnsi="Arial" w:cs="Arial"/>
          <w:lang w:val="en-GB"/>
        </w:rPr>
      </w:pPr>
    </w:p>
    <w:p w14:paraId="18EDF710" w14:textId="53D57F1D"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Furthermore, the Court clarifies that the decision not to sue the rest of the generic laboratories </w:t>
      </w:r>
      <w:r w:rsidR="00F81456" w:rsidRPr="00B3314E">
        <w:rPr>
          <w:rFonts w:ascii="Arial" w:hAnsi="Arial" w:cs="Arial"/>
          <w:lang w:val="en-GB"/>
        </w:rPr>
        <w:t xml:space="preserve">is not relevant in this regard </w:t>
      </w:r>
      <w:r w:rsidRPr="00B3314E">
        <w:rPr>
          <w:rFonts w:ascii="Arial" w:hAnsi="Arial" w:cs="Arial"/>
          <w:lang w:val="en-GB"/>
        </w:rPr>
        <w:t>because</w:t>
      </w:r>
      <w:r w:rsidR="00F81456" w:rsidRPr="00B3314E">
        <w:rPr>
          <w:rFonts w:ascii="Arial" w:hAnsi="Arial" w:cs="Arial"/>
          <w:lang w:val="en-GB"/>
        </w:rPr>
        <w:t xml:space="preserve">, in the words of the court, </w:t>
      </w:r>
      <w:r w:rsidRPr="00B3314E">
        <w:rPr>
          <w:rFonts w:ascii="Arial" w:hAnsi="Arial" w:cs="Arial"/>
          <w:lang w:val="en-GB"/>
        </w:rPr>
        <w:t>"</w:t>
      </w:r>
      <w:r w:rsidRPr="00B3314E">
        <w:rPr>
          <w:rFonts w:ascii="Arial" w:hAnsi="Arial" w:cs="Arial"/>
          <w:i/>
          <w:iCs/>
          <w:lang w:val="en-GB"/>
        </w:rPr>
        <w:t xml:space="preserve">each subject must respond to the consequences of the infringement committed, </w:t>
      </w:r>
      <w:r w:rsidR="00796078">
        <w:rPr>
          <w:rFonts w:ascii="Arial" w:hAnsi="Arial" w:cs="Arial"/>
          <w:i/>
          <w:iCs/>
          <w:lang w:val="en-GB"/>
        </w:rPr>
        <w:t xml:space="preserve">even </w:t>
      </w:r>
      <w:r w:rsidRPr="00B3314E">
        <w:rPr>
          <w:rFonts w:ascii="Arial" w:hAnsi="Arial" w:cs="Arial"/>
          <w:i/>
          <w:iCs/>
          <w:lang w:val="en-GB"/>
        </w:rPr>
        <w:t>though there may be others who have also infringed the same right</w:t>
      </w:r>
      <w:r w:rsidRPr="00B3314E">
        <w:rPr>
          <w:rFonts w:ascii="Arial" w:hAnsi="Arial" w:cs="Arial"/>
          <w:lang w:val="en-GB"/>
        </w:rPr>
        <w:t>".</w:t>
      </w:r>
    </w:p>
    <w:p w14:paraId="7C2BCF0B" w14:textId="77777777" w:rsidR="0072414E" w:rsidRPr="00B3314E" w:rsidRDefault="0072414E" w:rsidP="004171A7">
      <w:pPr>
        <w:spacing w:after="0" w:line="312" w:lineRule="auto"/>
        <w:jc w:val="both"/>
        <w:rPr>
          <w:rFonts w:ascii="Arial" w:hAnsi="Arial" w:cs="Arial"/>
          <w:lang w:val="en-GB"/>
        </w:rPr>
      </w:pPr>
    </w:p>
    <w:p w14:paraId="37B2C3FA" w14:textId="59DFBBC0" w:rsidR="003744B6" w:rsidRPr="00B3314E" w:rsidRDefault="000F388B">
      <w:pPr>
        <w:spacing w:after="0" w:line="312" w:lineRule="auto"/>
        <w:jc w:val="both"/>
        <w:rPr>
          <w:rFonts w:ascii="Arial" w:hAnsi="Arial" w:cs="Arial"/>
          <w:lang w:val="en-GB"/>
        </w:rPr>
      </w:pPr>
      <w:r w:rsidRPr="00B3314E">
        <w:rPr>
          <w:rFonts w:ascii="Arial" w:hAnsi="Arial" w:cs="Arial"/>
          <w:lang w:val="en-GB"/>
        </w:rPr>
        <w:lastRenderedPageBreak/>
        <w:t xml:space="preserve">In conclusion, the Court </w:t>
      </w:r>
      <w:r w:rsidR="0072414E" w:rsidRPr="00B3314E">
        <w:rPr>
          <w:rFonts w:ascii="Arial" w:hAnsi="Arial" w:cs="Arial"/>
          <w:lang w:val="en-GB"/>
        </w:rPr>
        <w:t xml:space="preserve">considered the criterion that, in the absence of TEVA and CINFA, </w:t>
      </w:r>
      <w:r w:rsidRPr="00B3314E">
        <w:rPr>
          <w:rFonts w:ascii="Arial" w:hAnsi="Arial" w:cs="Arial"/>
          <w:lang w:val="en-GB"/>
        </w:rPr>
        <w:t xml:space="preserve">the drugs sold </w:t>
      </w:r>
      <w:r w:rsidR="0072414E" w:rsidRPr="00B3314E">
        <w:rPr>
          <w:rFonts w:ascii="Arial" w:hAnsi="Arial" w:cs="Arial"/>
          <w:lang w:val="en-GB"/>
        </w:rPr>
        <w:t xml:space="preserve">by </w:t>
      </w:r>
      <w:r w:rsidRPr="00B3314E">
        <w:rPr>
          <w:rFonts w:ascii="Arial" w:hAnsi="Arial" w:cs="Arial"/>
          <w:lang w:val="en-GB"/>
        </w:rPr>
        <w:t>the</w:t>
      </w:r>
      <w:r w:rsidR="00832C7B">
        <w:rPr>
          <w:rFonts w:ascii="Arial" w:hAnsi="Arial" w:cs="Arial"/>
          <w:lang w:val="en-GB"/>
        </w:rPr>
        <w:t xml:space="preserve"> latter</w:t>
      </w:r>
      <w:r w:rsidRPr="00B3314E">
        <w:rPr>
          <w:rFonts w:ascii="Arial" w:hAnsi="Arial" w:cs="Arial"/>
          <w:lang w:val="en-GB"/>
        </w:rPr>
        <w:t xml:space="preserve"> </w:t>
      </w:r>
      <w:r w:rsidR="0072414E" w:rsidRPr="00B3314E">
        <w:rPr>
          <w:rFonts w:ascii="Arial" w:hAnsi="Arial" w:cs="Arial"/>
          <w:lang w:val="en-GB"/>
        </w:rPr>
        <w:t xml:space="preserve">would have been </w:t>
      </w:r>
      <w:r w:rsidRPr="00B3314E">
        <w:rPr>
          <w:rFonts w:ascii="Arial" w:hAnsi="Arial" w:cs="Arial"/>
          <w:lang w:val="en-GB"/>
        </w:rPr>
        <w:t xml:space="preserve">marketed </w:t>
      </w:r>
      <w:r w:rsidR="0072414E" w:rsidRPr="00B3314E">
        <w:rPr>
          <w:rFonts w:ascii="Arial" w:hAnsi="Arial" w:cs="Arial"/>
          <w:lang w:val="en-GB"/>
        </w:rPr>
        <w:t xml:space="preserve">by the rest of the laboratories in proportion to their respective market shares (and </w:t>
      </w:r>
      <w:r w:rsidR="0072414E" w:rsidRPr="000F388B">
        <w:rPr>
          <w:rFonts w:ascii="Arial" w:hAnsi="Arial" w:cs="Arial"/>
          <w:lang w:val="en-GB"/>
        </w:rPr>
        <w:t xml:space="preserve">not </w:t>
      </w:r>
      <w:r w:rsidR="006C2565" w:rsidRPr="000F388B">
        <w:rPr>
          <w:rFonts w:ascii="Arial" w:hAnsi="Arial" w:cs="Arial"/>
          <w:lang w:val="en-GB"/>
        </w:rPr>
        <w:t xml:space="preserve">by </w:t>
      </w:r>
      <w:r w:rsidR="0072414E" w:rsidRPr="000F388B">
        <w:rPr>
          <w:rFonts w:ascii="Arial" w:hAnsi="Arial" w:cs="Arial"/>
          <w:lang w:val="en-GB"/>
        </w:rPr>
        <w:t>creating a compartmentalization</w:t>
      </w:r>
      <w:r w:rsidR="0072414E" w:rsidRPr="00B3314E">
        <w:rPr>
          <w:rFonts w:ascii="Arial" w:hAnsi="Arial" w:cs="Arial"/>
          <w:lang w:val="en-GB"/>
        </w:rPr>
        <w:t xml:space="preserve"> of the market between innovative drugs </w:t>
      </w:r>
      <w:r w:rsidR="007775C2">
        <w:rPr>
          <w:rFonts w:ascii="Arial" w:hAnsi="Arial" w:cs="Arial"/>
          <w:lang w:val="en-GB"/>
        </w:rPr>
        <w:t>vs.</w:t>
      </w:r>
      <w:r w:rsidR="0072414E" w:rsidRPr="00B3314E">
        <w:rPr>
          <w:rFonts w:ascii="Arial" w:hAnsi="Arial" w:cs="Arial"/>
          <w:lang w:val="en-GB"/>
        </w:rPr>
        <w:t xml:space="preserve"> generic drugs)</w:t>
      </w:r>
      <w:r w:rsidR="00832C7B">
        <w:rPr>
          <w:rFonts w:ascii="Arial" w:hAnsi="Arial" w:cs="Arial"/>
          <w:lang w:val="en-GB"/>
        </w:rPr>
        <w:t>,</w:t>
      </w:r>
      <w:r w:rsidR="0072414E" w:rsidRPr="00B3314E">
        <w:rPr>
          <w:rFonts w:ascii="Arial" w:hAnsi="Arial" w:cs="Arial"/>
          <w:lang w:val="en-GB"/>
        </w:rPr>
        <w:t xml:space="preserve"> to be correct. In this way, a part of the sales could have been effectively absorbed by the other generic companies, but another part should in any case be attributed to the </w:t>
      </w:r>
      <w:r w:rsidRPr="00B3314E">
        <w:rPr>
          <w:rFonts w:ascii="Arial" w:hAnsi="Arial" w:cs="Arial"/>
          <w:lang w:val="en-GB"/>
        </w:rPr>
        <w:t xml:space="preserve">sales </w:t>
      </w:r>
      <w:r w:rsidR="00FE7547">
        <w:rPr>
          <w:rFonts w:ascii="Arial" w:hAnsi="Arial" w:cs="Arial"/>
          <w:lang w:val="en-GB"/>
        </w:rPr>
        <w:t xml:space="preserve">taken away </w:t>
      </w:r>
      <w:r w:rsidRPr="00B3314E">
        <w:rPr>
          <w:rFonts w:ascii="Arial" w:hAnsi="Arial" w:cs="Arial"/>
          <w:lang w:val="en-GB"/>
        </w:rPr>
        <w:t xml:space="preserve">from the </w:t>
      </w:r>
      <w:r w:rsidR="0072414E" w:rsidRPr="00B3314E">
        <w:rPr>
          <w:rFonts w:ascii="Arial" w:hAnsi="Arial" w:cs="Arial"/>
          <w:lang w:val="en-GB"/>
        </w:rPr>
        <w:t>plaintiff.</w:t>
      </w:r>
    </w:p>
    <w:p w14:paraId="601517EC" w14:textId="77777777" w:rsidR="00B42FBE" w:rsidRPr="00B3314E" w:rsidRDefault="00B42FBE" w:rsidP="004171A7">
      <w:pPr>
        <w:spacing w:after="0" w:line="312" w:lineRule="auto"/>
        <w:jc w:val="both"/>
        <w:rPr>
          <w:rFonts w:ascii="Arial" w:hAnsi="Arial" w:cs="Arial"/>
          <w:lang w:val="en-GB"/>
        </w:rPr>
      </w:pPr>
    </w:p>
    <w:p w14:paraId="2443AB3A" w14:textId="27145864" w:rsidR="003744B6" w:rsidRPr="00750061" w:rsidRDefault="000F388B">
      <w:pPr>
        <w:pStyle w:val="Lijstalinea"/>
        <w:numPr>
          <w:ilvl w:val="0"/>
          <w:numId w:val="23"/>
        </w:numPr>
        <w:spacing w:after="0" w:line="312" w:lineRule="auto"/>
        <w:jc w:val="both"/>
        <w:rPr>
          <w:rFonts w:ascii="Arial" w:hAnsi="Arial" w:cs="Arial"/>
          <w:u w:val="single"/>
          <w:lang w:val="en-GB"/>
        </w:rPr>
      </w:pPr>
      <w:r w:rsidRPr="00750061">
        <w:rPr>
          <w:rFonts w:ascii="Arial" w:hAnsi="Arial" w:cs="Arial"/>
          <w:u w:val="single"/>
          <w:lang w:val="en-GB"/>
        </w:rPr>
        <w:t xml:space="preserve">"Price reduction effect" </w:t>
      </w:r>
    </w:p>
    <w:p w14:paraId="530C9886" w14:textId="77777777" w:rsidR="00CA5D37" w:rsidRPr="00750061" w:rsidRDefault="00CA5D37" w:rsidP="00CA5D37">
      <w:pPr>
        <w:spacing w:after="0" w:line="312" w:lineRule="auto"/>
        <w:jc w:val="both"/>
        <w:rPr>
          <w:rFonts w:ascii="Arial" w:hAnsi="Arial" w:cs="Arial"/>
          <w:lang w:val="en-GB"/>
        </w:rPr>
      </w:pPr>
    </w:p>
    <w:p w14:paraId="25443F52" w14:textId="6F508237"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Regarding this second criterion, </w:t>
      </w:r>
      <w:r w:rsidR="008D3880" w:rsidRPr="00B3314E">
        <w:rPr>
          <w:rFonts w:ascii="Arial" w:hAnsi="Arial" w:cs="Arial"/>
          <w:lang w:val="en-GB"/>
        </w:rPr>
        <w:t xml:space="preserve">the </w:t>
      </w:r>
      <w:r w:rsidR="00BF1FAB">
        <w:rPr>
          <w:rFonts w:ascii="Arial" w:hAnsi="Arial" w:cs="Arial"/>
          <w:lang w:val="en-GB"/>
        </w:rPr>
        <w:t>first-instance Court</w:t>
      </w:r>
      <w:r w:rsidR="008D3880" w:rsidRPr="00B3314E">
        <w:rPr>
          <w:rFonts w:ascii="Arial" w:hAnsi="Arial" w:cs="Arial"/>
          <w:lang w:val="en-GB"/>
        </w:rPr>
        <w:t xml:space="preserve"> had </w:t>
      </w:r>
      <w:r w:rsidR="00870871">
        <w:rPr>
          <w:rFonts w:ascii="Arial" w:hAnsi="Arial" w:cs="Arial"/>
          <w:lang w:val="en-GB"/>
        </w:rPr>
        <w:t xml:space="preserve">sentenced </w:t>
      </w:r>
      <w:r w:rsidR="00CA5D37" w:rsidRPr="00B3314E">
        <w:rPr>
          <w:rFonts w:ascii="Arial" w:hAnsi="Arial" w:cs="Arial"/>
          <w:lang w:val="en-GB"/>
        </w:rPr>
        <w:t>TEVA -as the first laboratory to have launched</w:t>
      </w:r>
      <w:r w:rsidR="009810A0">
        <w:rPr>
          <w:rFonts w:ascii="Arial" w:hAnsi="Arial" w:cs="Arial"/>
          <w:lang w:val="en-GB"/>
        </w:rPr>
        <w:t xml:space="preserve"> </w:t>
      </w:r>
      <w:r>
        <w:rPr>
          <w:rFonts w:ascii="Arial" w:hAnsi="Arial" w:cs="Arial"/>
          <w:lang w:val="en-GB"/>
        </w:rPr>
        <w:t>“at risk”</w:t>
      </w:r>
      <w:r w:rsidR="00CA5D37" w:rsidRPr="00B3314E">
        <w:rPr>
          <w:rFonts w:ascii="Arial" w:hAnsi="Arial" w:cs="Arial"/>
          <w:lang w:val="en-GB"/>
        </w:rPr>
        <w:t xml:space="preserve">- for the losses derived from the forced reduction of the price of EVISTA® due to the inclusion of TEVA's generic drug in the </w:t>
      </w:r>
      <w:r w:rsidRPr="00B3314E">
        <w:rPr>
          <w:rFonts w:ascii="Arial" w:hAnsi="Arial" w:cs="Arial"/>
          <w:lang w:val="en-GB"/>
        </w:rPr>
        <w:t xml:space="preserve">so-called </w:t>
      </w:r>
      <w:r w:rsidR="00CA5D37" w:rsidRPr="00B3314E">
        <w:rPr>
          <w:rFonts w:ascii="Arial" w:hAnsi="Arial" w:cs="Arial"/>
          <w:lang w:val="en-GB"/>
        </w:rPr>
        <w:t>"homogeneous grouping" for the active ingredient Raloxifene.</w:t>
      </w:r>
    </w:p>
    <w:p w14:paraId="463E032E" w14:textId="77777777" w:rsidR="008D3880" w:rsidRPr="00B3314E" w:rsidRDefault="008D3880" w:rsidP="00CA5D37">
      <w:pPr>
        <w:spacing w:after="0" w:line="312" w:lineRule="auto"/>
        <w:jc w:val="both"/>
        <w:rPr>
          <w:rFonts w:ascii="Arial" w:hAnsi="Arial" w:cs="Arial"/>
          <w:lang w:val="en-GB"/>
        </w:rPr>
      </w:pPr>
    </w:p>
    <w:p w14:paraId="540CE61C" w14:textId="06A10467" w:rsidR="003744B6" w:rsidRPr="00B3314E" w:rsidRDefault="000F388B">
      <w:pPr>
        <w:spacing w:after="0" w:line="312" w:lineRule="auto"/>
        <w:jc w:val="both"/>
        <w:rPr>
          <w:rFonts w:ascii="Arial" w:hAnsi="Arial" w:cs="Arial"/>
          <w:lang w:val="en-GB"/>
        </w:rPr>
      </w:pPr>
      <w:r w:rsidRPr="00B3314E">
        <w:rPr>
          <w:rFonts w:ascii="Arial" w:hAnsi="Arial" w:cs="Arial"/>
          <w:lang w:val="en-GB"/>
        </w:rPr>
        <w:t>Once again, the Court accept</w:t>
      </w:r>
      <w:r>
        <w:rPr>
          <w:rFonts w:ascii="Arial" w:hAnsi="Arial" w:cs="Arial"/>
          <w:lang w:val="en-GB"/>
        </w:rPr>
        <w:t xml:space="preserve">ed </w:t>
      </w:r>
      <w:r w:rsidRPr="00B3314E">
        <w:rPr>
          <w:rFonts w:ascii="Arial" w:hAnsi="Arial" w:cs="Arial"/>
          <w:lang w:val="en-GB"/>
        </w:rPr>
        <w:t>DAIICHI's thesis and considers that the laboratory that launches at risk and markets the first generic drug (TEVA) forces the price reduction of the original drug and therefore must be responsible for the damage</w:t>
      </w:r>
      <w:r w:rsidR="00820A65">
        <w:rPr>
          <w:rFonts w:ascii="Arial" w:hAnsi="Arial" w:cs="Arial"/>
          <w:lang w:val="en-GB"/>
        </w:rPr>
        <w:t>s</w:t>
      </w:r>
      <w:r w:rsidRPr="00B3314E">
        <w:rPr>
          <w:rFonts w:ascii="Arial" w:hAnsi="Arial" w:cs="Arial"/>
          <w:lang w:val="en-GB"/>
        </w:rPr>
        <w:t xml:space="preserve"> caused during the entire remaining exclusivity period</w:t>
      </w:r>
      <w:r w:rsidR="0072414E" w:rsidRPr="00B3314E">
        <w:rPr>
          <w:rFonts w:ascii="Arial" w:hAnsi="Arial" w:cs="Arial"/>
          <w:lang w:val="en-GB"/>
        </w:rPr>
        <w:t xml:space="preserve">, regardless of whether other generic laboratories join the </w:t>
      </w:r>
      <w:r>
        <w:rPr>
          <w:rFonts w:ascii="Arial" w:hAnsi="Arial" w:cs="Arial"/>
          <w:lang w:val="en-GB"/>
        </w:rPr>
        <w:t>“</w:t>
      </w:r>
      <w:r w:rsidR="0072414E" w:rsidRPr="00B3314E">
        <w:rPr>
          <w:rFonts w:ascii="Arial" w:hAnsi="Arial" w:cs="Arial"/>
          <w:lang w:val="en-GB"/>
        </w:rPr>
        <w:t>homogeneous group</w:t>
      </w:r>
      <w:r>
        <w:rPr>
          <w:rFonts w:ascii="Arial" w:hAnsi="Arial" w:cs="Arial"/>
          <w:lang w:val="en-GB"/>
        </w:rPr>
        <w:t>ing”</w:t>
      </w:r>
      <w:r w:rsidR="0072414E" w:rsidRPr="00B3314E">
        <w:rPr>
          <w:rFonts w:ascii="Arial" w:hAnsi="Arial" w:cs="Arial"/>
          <w:lang w:val="en-GB"/>
        </w:rPr>
        <w:t xml:space="preserve"> later </w:t>
      </w:r>
      <w:r w:rsidR="00F81456" w:rsidRPr="00B3314E">
        <w:rPr>
          <w:rFonts w:ascii="Arial" w:hAnsi="Arial" w:cs="Arial"/>
          <w:lang w:val="en-GB"/>
        </w:rPr>
        <w:t>(and before the expiration date of the patent).</w:t>
      </w:r>
    </w:p>
    <w:p w14:paraId="0DE49751" w14:textId="77777777" w:rsidR="000C74EA" w:rsidRPr="00B3314E" w:rsidRDefault="000C74EA" w:rsidP="0072414E">
      <w:pPr>
        <w:spacing w:after="0" w:line="312" w:lineRule="auto"/>
        <w:jc w:val="both"/>
        <w:rPr>
          <w:rFonts w:ascii="Arial" w:hAnsi="Arial" w:cs="Arial"/>
          <w:lang w:val="en-GB"/>
        </w:rPr>
      </w:pPr>
    </w:p>
    <w:p w14:paraId="158DBB6C" w14:textId="32328D16"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Consequently, </w:t>
      </w:r>
      <w:r w:rsidR="000B5F99" w:rsidRPr="00B3314E">
        <w:rPr>
          <w:rFonts w:ascii="Arial" w:hAnsi="Arial" w:cs="Arial"/>
          <w:lang w:val="en-GB"/>
        </w:rPr>
        <w:t xml:space="preserve">TEVA was </w:t>
      </w:r>
      <w:r w:rsidR="000C74EA" w:rsidRPr="00B3314E">
        <w:rPr>
          <w:rFonts w:ascii="Arial" w:hAnsi="Arial" w:cs="Arial"/>
          <w:lang w:val="en-GB"/>
        </w:rPr>
        <w:t xml:space="preserve">declared </w:t>
      </w:r>
      <w:r w:rsidR="00733941" w:rsidRPr="00B3314E">
        <w:rPr>
          <w:rFonts w:ascii="Arial" w:hAnsi="Arial" w:cs="Arial"/>
          <w:lang w:val="en-GB"/>
        </w:rPr>
        <w:t xml:space="preserve">responsible for all </w:t>
      </w:r>
      <w:r w:rsidR="00820A65">
        <w:rPr>
          <w:rFonts w:ascii="Arial" w:hAnsi="Arial" w:cs="Arial"/>
          <w:lang w:val="en-GB"/>
        </w:rPr>
        <w:t xml:space="preserve">the </w:t>
      </w:r>
      <w:r w:rsidR="00733941" w:rsidRPr="00B3314E">
        <w:rPr>
          <w:rFonts w:ascii="Arial" w:hAnsi="Arial" w:cs="Arial"/>
          <w:lang w:val="en-GB"/>
        </w:rPr>
        <w:t xml:space="preserve">lost profits </w:t>
      </w:r>
      <w:r w:rsidR="00C44699" w:rsidRPr="00B3314E">
        <w:rPr>
          <w:rFonts w:ascii="Arial" w:hAnsi="Arial" w:cs="Arial"/>
          <w:lang w:val="en-GB"/>
        </w:rPr>
        <w:t xml:space="preserve">during the entire </w:t>
      </w:r>
      <w:r w:rsidR="00BB1C23">
        <w:rPr>
          <w:rFonts w:ascii="Arial" w:hAnsi="Arial" w:cs="Arial"/>
          <w:lang w:val="en-GB"/>
        </w:rPr>
        <w:t xml:space="preserve">exclusivity </w:t>
      </w:r>
      <w:r w:rsidR="00C44699" w:rsidRPr="00B3314E">
        <w:rPr>
          <w:rFonts w:ascii="Arial" w:hAnsi="Arial" w:cs="Arial"/>
          <w:lang w:val="en-GB"/>
        </w:rPr>
        <w:t>period</w:t>
      </w:r>
      <w:r w:rsidRPr="00B3314E">
        <w:rPr>
          <w:rFonts w:ascii="Arial" w:hAnsi="Arial" w:cs="Arial"/>
          <w:lang w:val="en-GB"/>
        </w:rPr>
        <w:t xml:space="preserve">, </w:t>
      </w:r>
      <w:r w:rsidR="00733941" w:rsidRPr="00B3314E">
        <w:rPr>
          <w:rFonts w:ascii="Arial" w:hAnsi="Arial" w:cs="Arial"/>
          <w:lang w:val="en-GB"/>
        </w:rPr>
        <w:t xml:space="preserve">since it was </w:t>
      </w:r>
      <w:r w:rsidRPr="00B3314E">
        <w:rPr>
          <w:rFonts w:ascii="Arial" w:hAnsi="Arial" w:cs="Arial"/>
          <w:lang w:val="en-GB"/>
        </w:rPr>
        <w:t xml:space="preserve">the </w:t>
      </w:r>
      <w:r w:rsidR="00733941" w:rsidRPr="00B3314E">
        <w:rPr>
          <w:rFonts w:ascii="Arial" w:hAnsi="Arial" w:cs="Arial"/>
          <w:lang w:val="en-GB"/>
        </w:rPr>
        <w:t xml:space="preserve">first generic laboratory that caused the reduction of the sales price of the </w:t>
      </w:r>
      <w:r w:rsidRPr="00B3314E">
        <w:rPr>
          <w:rFonts w:ascii="Arial" w:hAnsi="Arial" w:cs="Arial"/>
          <w:lang w:val="en-GB"/>
        </w:rPr>
        <w:t xml:space="preserve">original </w:t>
      </w:r>
      <w:r w:rsidR="00733941" w:rsidRPr="00B3314E">
        <w:rPr>
          <w:rFonts w:ascii="Arial" w:hAnsi="Arial" w:cs="Arial"/>
          <w:lang w:val="en-GB"/>
        </w:rPr>
        <w:t>reference drug.</w:t>
      </w:r>
    </w:p>
    <w:p w14:paraId="795BCC2A" w14:textId="77777777" w:rsidR="00C44699" w:rsidRPr="00B3314E" w:rsidRDefault="00C44699" w:rsidP="0072414E">
      <w:pPr>
        <w:spacing w:after="0" w:line="312" w:lineRule="auto"/>
        <w:jc w:val="both"/>
        <w:rPr>
          <w:rFonts w:ascii="Arial" w:hAnsi="Arial" w:cs="Arial"/>
          <w:lang w:val="en-GB"/>
        </w:rPr>
      </w:pPr>
    </w:p>
    <w:p w14:paraId="51B44E5C" w14:textId="231A00B8" w:rsidR="003744B6" w:rsidRPr="00B3314E" w:rsidRDefault="000F388B">
      <w:pPr>
        <w:spacing w:after="0" w:line="312" w:lineRule="auto"/>
        <w:jc w:val="both"/>
        <w:rPr>
          <w:rFonts w:ascii="Arial" w:hAnsi="Arial" w:cs="Arial"/>
          <w:lang w:val="en-GB"/>
        </w:rPr>
      </w:pPr>
      <w:r w:rsidRPr="00B3314E">
        <w:rPr>
          <w:rFonts w:ascii="Arial" w:hAnsi="Arial" w:cs="Arial"/>
          <w:lang w:val="en-GB"/>
        </w:rPr>
        <w:t>In a subsidiary scenario, DAIICHI had asked the court that, if it did not share the view that TEVA alone should be liable for all the damage</w:t>
      </w:r>
      <w:r w:rsidR="00820A65">
        <w:rPr>
          <w:rFonts w:ascii="Arial" w:hAnsi="Arial" w:cs="Arial"/>
          <w:lang w:val="en-GB"/>
        </w:rPr>
        <w:t>s</w:t>
      </w:r>
      <w:r w:rsidRPr="00B3314E">
        <w:rPr>
          <w:rFonts w:ascii="Arial" w:hAnsi="Arial" w:cs="Arial"/>
          <w:lang w:val="en-GB"/>
        </w:rPr>
        <w:t xml:space="preserve"> because it was the one that originally triggered it, TEVA and CINFA should be jointly liable for </w:t>
      </w:r>
      <w:r w:rsidR="00820A65">
        <w:rPr>
          <w:rFonts w:ascii="Arial" w:hAnsi="Arial" w:cs="Arial"/>
          <w:lang w:val="en-GB"/>
        </w:rPr>
        <w:t>those damages</w:t>
      </w:r>
      <w:r w:rsidRPr="00B3314E">
        <w:rPr>
          <w:rFonts w:ascii="Arial" w:hAnsi="Arial" w:cs="Arial"/>
          <w:lang w:val="en-GB"/>
        </w:rPr>
        <w:t xml:space="preserve">, with liability apportioned according to their respective market shares. </w:t>
      </w:r>
    </w:p>
    <w:p w14:paraId="0D2EF6DE" w14:textId="77777777" w:rsidR="008D3880" w:rsidRPr="00B3314E" w:rsidRDefault="008D3880" w:rsidP="0072414E">
      <w:pPr>
        <w:spacing w:after="0" w:line="312" w:lineRule="auto"/>
        <w:jc w:val="both"/>
        <w:rPr>
          <w:rFonts w:ascii="Arial" w:hAnsi="Arial" w:cs="Arial"/>
          <w:lang w:val="en-GB"/>
        </w:rPr>
      </w:pPr>
    </w:p>
    <w:p w14:paraId="5DC15526" w14:textId="3E423FBF" w:rsidR="003744B6" w:rsidRPr="00B3314E" w:rsidRDefault="000F388B">
      <w:pPr>
        <w:spacing w:after="0" w:line="312" w:lineRule="auto"/>
        <w:jc w:val="both"/>
        <w:rPr>
          <w:rFonts w:ascii="Arial" w:hAnsi="Arial" w:cs="Arial"/>
          <w:lang w:val="en-GB"/>
        </w:rPr>
      </w:pPr>
      <w:r w:rsidRPr="00B3314E">
        <w:rPr>
          <w:rFonts w:ascii="Arial" w:hAnsi="Arial" w:cs="Arial"/>
          <w:lang w:val="en-GB"/>
        </w:rPr>
        <w:t>However, the Court ruled out this possibility because it said that, in order to do so, "</w:t>
      </w:r>
      <w:r w:rsidR="00BD357F">
        <w:rPr>
          <w:rFonts w:ascii="Arial" w:hAnsi="Arial" w:cs="Arial"/>
          <w:i/>
          <w:iCs/>
          <w:lang w:val="en-GB"/>
        </w:rPr>
        <w:t>one</w:t>
      </w:r>
      <w:r w:rsidRPr="00B3314E">
        <w:rPr>
          <w:rFonts w:ascii="Arial" w:hAnsi="Arial" w:cs="Arial"/>
          <w:i/>
          <w:iCs/>
          <w:lang w:val="en-GB"/>
        </w:rPr>
        <w:t xml:space="preserve"> would have had to </w:t>
      </w:r>
      <w:r>
        <w:rPr>
          <w:rFonts w:ascii="Arial" w:hAnsi="Arial" w:cs="Arial"/>
          <w:i/>
          <w:iCs/>
          <w:lang w:val="en-GB"/>
        </w:rPr>
        <w:t>prove i</w:t>
      </w:r>
      <w:r w:rsidRPr="00B3314E">
        <w:rPr>
          <w:rFonts w:ascii="Arial" w:hAnsi="Arial" w:cs="Arial"/>
          <w:i/>
          <w:iCs/>
          <w:lang w:val="en-GB"/>
        </w:rPr>
        <w:t xml:space="preserve">n this litigation that, during the specific </w:t>
      </w:r>
      <w:r w:rsidR="00E4066A">
        <w:rPr>
          <w:rFonts w:ascii="Arial" w:hAnsi="Arial" w:cs="Arial"/>
          <w:i/>
          <w:iCs/>
          <w:lang w:val="en-GB"/>
        </w:rPr>
        <w:t xml:space="preserve">relevant </w:t>
      </w:r>
      <w:r w:rsidRPr="00B3314E">
        <w:rPr>
          <w:rFonts w:ascii="Arial" w:hAnsi="Arial" w:cs="Arial"/>
          <w:i/>
          <w:iCs/>
          <w:lang w:val="en-GB"/>
        </w:rPr>
        <w:t xml:space="preserve">period, that is, until the expiration of the exclusive right, there had been successive revisions and precisely </w:t>
      </w:r>
      <w:r w:rsidR="00E80F6E">
        <w:rPr>
          <w:rFonts w:ascii="Arial" w:hAnsi="Arial" w:cs="Arial"/>
          <w:i/>
          <w:iCs/>
          <w:lang w:val="en-GB"/>
        </w:rPr>
        <w:t xml:space="preserve">decreasing </w:t>
      </w:r>
      <w:r w:rsidRPr="00B3314E">
        <w:rPr>
          <w:rFonts w:ascii="Arial" w:hAnsi="Arial" w:cs="Arial"/>
          <w:i/>
          <w:iCs/>
          <w:lang w:val="en-GB"/>
        </w:rPr>
        <w:t xml:space="preserve">prices, as a consequence of the entry of new generics into the group (which did not occur when CINFA's </w:t>
      </w:r>
      <w:r w:rsidR="00554AA1">
        <w:rPr>
          <w:rFonts w:ascii="Arial" w:hAnsi="Arial" w:cs="Arial"/>
          <w:i/>
          <w:iCs/>
          <w:lang w:val="en-GB"/>
        </w:rPr>
        <w:t xml:space="preserve">generic </w:t>
      </w:r>
      <w:r w:rsidRPr="00B3314E">
        <w:rPr>
          <w:rFonts w:ascii="Arial" w:hAnsi="Arial" w:cs="Arial"/>
          <w:i/>
          <w:iCs/>
          <w:lang w:val="en-GB"/>
        </w:rPr>
        <w:t xml:space="preserve">was incorporated), </w:t>
      </w:r>
      <w:r w:rsidR="00554AA1">
        <w:rPr>
          <w:rFonts w:ascii="Arial" w:hAnsi="Arial" w:cs="Arial"/>
          <w:i/>
          <w:iCs/>
          <w:lang w:val="en-GB"/>
        </w:rPr>
        <w:t>in order to justify that</w:t>
      </w:r>
      <w:r w:rsidRPr="00B3314E">
        <w:rPr>
          <w:rFonts w:ascii="Arial" w:hAnsi="Arial" w:cs="Arial"/>
          <w:i/>
          <w:iCs/>
          <w:lang w:val="en-GB"/>
        </w:rPr>
        <w:t xml:space="preserve"> TEVA </w:t>
      </w:r>
      <w:r w:rsidR="00554AA1">
        <w:rPr>
          <w:rFonts w:ascii="Arial" w:hAnsi="Arial" w:cs="Arial"/>
          <w:i/>
          <w:iCs/>
          <w:lang w:val="en-GB"/>
        </w:rPr>
        <w:t>would have to share in</w:t>
      </w:r>
      <w:r w:rsidRPr="00B3314E">
        <w:rPr>
          <w:rFonts w:ascii="Arial" w:hAnsi="Arial" w:cs="Arial"/>
          <w:i/>
          <w:iCs/>
          <w:lang w:val="en-GB"/>
        </w:rPr>
        <w:t xml:space="preserve"> the responsibility for this reason with other parties</w:t>
      </w:r>
      <w:r w:rsidRPr="00B3314E">
        <w:rPr>
          <w:rFonts w:ascii="Arial" w:hAnsi="Arial" w:cs="Arial"/>
          <w:lang w:val="en-GB"/>
        </w:rPr>
        <w:t xml:space="preserve">". </w:t>
      </w:r>
    </w:p>
    <w:p w14:paraId="5CEC7CFA" w14:textId="77777777" w:rsidR="00C44699" w:rsidRPr="00B3314E" w:rsidRDefault="00C44699" w:rsidP="0072414E">
      <w:pPr>
        <w:spacing w:after="0" w:line="312" w:lineRule="auto"/>
        <w:jc w:val="both"/>
        <w:rPr>
          <w:rFonts w:ascii="Arial" w:hAnsi="Arial" w:cs="Arial"/>
          <w:lang w:val="en-GB"/>
        </w:rPr>
      </w:pPr>
    </w:p>
    <w:p w14:paraId="77836B6B" w14:textId="34FAA1B3" w:rsidR="003744B6" w:rsidRPr="00B3314E" w:rsidRDefault="000F388B">
      <w:pPr>
        <w:spacing w:after="0" w:line="312" w:lineRule="auto"/>
        <w:jc w:val="both"/>
        <w:rPr>
          <w:rFonts w:ascii="Arial" w:hAnsi="Arial" w:cs="Arial"/>
          <w:lang w:val="en-GB"/>
        </w:rPr>
      </w:pPr>
      <w:r w:rsidRPr="00B3314E">
        <w:rPr>
          <w:rFonts w:ascii="Arial" w:hAnsi="Arial" w:cs="Arial"/>
          <w:lang w:val="en-GB"/>
        </w:rPr>
        <w:t xml:space="preserve">Therefore, the Court decided to </w:t>
      </w:r>
      <w:r w:rsidR="00963958" w:rsidRPr="00B3314E">
        <w:rPr>
          <w:rFonts w:ascii="Arial" w:hAnsi="Arial" w:cs="Arial"/>
          <w:lang w:val="en-GB"/>
        </w:rPr>
        <w:t>ascribe</w:t>
      </w:r>
      <w:r w:rsidRPr="00B3314E">
        <w:rPr>
          <w:rFonts w:ascii="Arial" w:hAnsi="Arial" w:cs="Arial"/>
          <w:lang w:val="en-GB"/>
        </w:rPr>
        <w:t xml:space="preserve"> all the damage</w:t>
      </w:r>
      <w:r w:rsidR="00963958">
        <w:rPr>
          <w:rFonts w:ascii="Arial" w:hAnsi="Arial" w:cs="Arial"/>
          <w:lang w:val="en-GB"/>
        </w:rPr>
        <w:t>s</w:t>
      </w:r>
      <w:r w:rsidRPr="00B3314E">
        <w:rPr>
          <w:rFonts w:ascii="Arial" w:hAnsi="Arial" w:cs="Arial"/>
          <w:lang w:val="en-GB"/>
        </w:rPr>
        <w:t xml:space="preserve"> to TEVA, as the first generic laboratory and solely responsible for causing the reduction of the sale price (by 40%) of the </w:t>
      </w:r>
      <w:r w:rsidR="00317097" w:rsidRPr="00B3314E">
        <w:rPr>
          <w:rFonts w:ascii="Arial" w:hAnsi="Arial" w:cs="Arial"/>
          <w:lang w:val="en-GB"/>
        </w:rPr>
        <w:t xml:space="preserve">original </w:t>
      </w:r>
      <w:r w:rsidRPr="00B3314E">
        <w:rPr>
          <w:rFonts w:ascii="Arial" w:hAnsi="Arial" w:cs="Arial"/>
          <w:lang w:val="en-GB"/>
        </w:rPr>
        <w:t xml:space="preserve">drug EVISTA®, since it was the one who, in accordance with </w:t>
      </w:r>
      <w:r w:rsidR="00317097" w:rsidRPr="00B3314E">
        <w:rPr>
          <w:rFonts w:ascii="Arial" w:hAnsi="Arial" w:cs="Arial"/>
          <w:lang w:val="en-GB"/>
        </w:rPr>
        <w:t xml:space="preserve">the regulatory framework of the pharmaceutical sector </w:t>
      </w:r>
      <w:r w:rsidR="00317097" w:rsidRPr="00B3314E">
        <w:rPr>
          <w:rFonts w:ascii="Arial" w:hAnsi="Arial" w:cs="Arial"/>
          <w:lang w:val="en-GB"/>
        </w:rPr>
        <w:lastRenderedPageBreak/>
        <w:t xml:space="preserve">then in force </w:t>
      </w:r>
      <w:r w:rsidR="00D77083" w:rsidRPr="00B3314E">
        <w:rPr>
          <w:rFonts w:ascii="Arial" w:hAnsi="Arial" w:cs="Arial"/>
          <w:lang w:val="en-GB"/>
        </w:rPr>
        <w:t>in Spain</w:t>
      </w:r>
      <w:r w:rsidRPr="00B3314E">
        <w:rPr>
          <w:rFonts w:ascii="Arial" w:hAnsi="Arial" w:cs="Arial"/>
          <w:lang w:val="en-GB"/>
        </w:rPr>
        <w:t>, triggered the formation of the aforementioned "homogeneous grouping", and since it was not proven that the launching of successive generic drugs of Raloxifene by other laboratories would have caused additional drops in the price of EVISTA®.</w:t>
      </w:r>
    </w:p>
    <w:p w14:paraId="07BCD798" w14:textId="77777777" w:rsidR="002F2A81" w:rsidRPr="00B3314E" w:rsidRDefault="002F2A81" w:rsidP="004171A7">
      <w:pPr>
        <w:spacing w:after="0" w:line="312" w:lineRule="auto"/>
        <w:jc w:val="both"/>
        <w:rPr>
          <w:rFonts w:ascii="Arial" w:hAnsi="Arial" w:cs="Arial"/>
          <w:lang w:val="en-GB"/>
        </w:rPr>
      </w:pPr>
    </w:p>
    <w:p w14:paraId="72A78F19" w14:textId="77777777" w:rsidR="008B4534" w:rsidRPr="004171A7" w:rsidRDefault="002F2A81" w:rsidP="00756163">
      <w:pPr>
        <w:spacing w:after="0" w:line="312" w:lineRule="auto"/>
        <w:jc w:val="both"/>
        <w:rPr>
          <w:rFonts w:ascii="Arial" w:hAnsi="Arial" w:cs="Arial"/>
          <w:color w:val="000000"/>
          <w:lang w:val="en-GB"/>
        </w:rPr>
      </w:pPr>
      <w:r>
        <w:rPr>
          <w:noProof/>
        </w:rPr>
        <w:drawing>
          <wp:inline distT="0" distB="0" distL="0" distR="0" wp14:anchorId="2129AAB8" wp14:editId="56871967">
            <wp:extent cx="1148486" cy="445132"/>
            <wp:effectExtent l="0" t="0" r="0" b="0"/>
            <wp:docPr id="8"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r="29528"/>
                    <a:stretch/>
                  </pic:blipFill>
                  <pic:spPr bwMode="auto">
                    <a:xfrm>
                      <a:off x="0" y="0"/>
                      <a:ext cx="1148486" cy="445132"/>
                    </a:xfrm>
                    <a:prstGeom prst="rect">
                      <a:avLst/>
                    </a:prstGeom>
                    <a:ln>
                      <a:noFill/>
                    </a:ln>
                    <a:extLst>
                      <a:ext uri="{53640926-AAD7-44D8-BBD7-CCE9431645EC}">
                        <a14:shadowObscured xmlns:a14="http://schemas.microsoft.com/office/drawing/2010/main"/>
                      </a:ext>
                    </a:extLst>
                  </pic:spPr>
                </pic:pic>
              </a:graphicData>
            </a:graphic>
          </wp:inline>
        </w:drawing>
      </w:r>
    </w:p>
    <w:sectPr w:rsidR="008B4534" w:rsidRPr="004171A7" w:rsidSect="00012D17">
      <w:footerReference w:type="default" r:id="rId11"/>
      <w:headerReference w:type="first" r:id="rId12"/>
      <w:pgSz w:w="12240" w:h="15840" w:code="1"/>
      <w:pgMar w:top="1418" w:right="1134" w:bottom="1418" w:left="1247"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E6C7F" w14:textId="77777777" w:rsidR="003137C3" w:rsidRDefault="003137C3" w:rsidP="00001C1C">
      <w:pPr>
        <w:spacing w:after="0" w:line="240" w:lineRule="auto"/>
      </w:pPr>
      <w:r>
        <w:separator/>
      </w:r>
    </w:p>
  </w:endnote>
  <w:endnote w:type="continuationSeparator" w:id="0">
    <w:p w14:paraId="2CF584D2" w14:textId="77777777" w:rsidR="003137C3" w:rsidRDefault="003137C3" w:rsidP="0000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8302999"/>
      <w:docPartObj>
        <w:docPartGallery w:val="Page Numbers (Bottom of Page)"/>
        <w:docPartUnique/>
      </w:docPartObj>
    </w:sdtPr>
    <w:sdtEndPr>
      <w:rPr>
        <w:rFonts w:asciiTheme="minorHAnsi" w:hAnsiTheme="minorHAnsi" w:cstheme="minorBidi"/>
      </w:rPr>
    </w:sdtEndPr>
    <w:sdtContent>
      <w:p w14:paraId="7F56CFDE" w14:textId="77777777" w:rsidR="003744B6" w:rsidRDefault="000F388B">
        <w:pPr>
          <w:pStyle w:val="Voettekst"/>
          <w:jc w:val="center"/>
          <w:rPr>
            <w:rFonts w:ascii="Arial" w:hAnsi="Arial" w:cs="Arial"/>
            <w:sz w:val="10"/>
            <w:szCs w:val="10"/>
          </w:rPr>
        </w:pPr>
        <w:r w:rsidRPr="006B2714">
          <w:rPr>
            <w:rFonts w:ascii="Arial" w:hAnsi="Arial" w:cs="Arial"/>
            <w:b/>
            <w:sz w:val="16"/>
            <w:szCs w:val="16"/>
          </w:rPr>
          <w:fldChar w:fldCharType="begin"/>
        </w:r>
        <w:r w:rsidRPr="006B2714">
          <w:rPr>
            <w:rFonts w:ascii="Arial" w:hAnsi="Arial" w:cs="Arial"/>
            <w:b/>
            <w:sz w:val="16"/>
            <w:szCs w:val="16"/>
          </w:rPr>
          <w:instrText xml:space="preserve"> PAGE  \* Arabic  \* MERGEFORMAT </w:instrText>
        </w:r>
        <w:r w:rsidRPr="006B2714">
          <w:rPr>
            <w:rFonts w:ascii="Arial" w:hAnsi="Arial" w:cs="Arial"/>
            <w:b/>
            <w:sz w:val="16"/>
            <w:szCs w:val="16"/>
          </w:rPr>
          <w:fldChar w:fldCharType="separate"/>
        </w:r>
        <w:r w:rsidR="00C8516E">
          <w:rPr>
            <w:rFonts w:ascii="Arial" w:hAnsi="Arial" w:cs="Arial"/>
            <w:b/>
            <w:noProof/>
            <w:sz w:val="16"/>
            <w:szCs w:val="16"/>
          </w:rPr>
          <w:t>3</w:t>
        </w:r>
        <w:r w:rsidRPr="006B2714">
          <w:rPr>
            <w:rFonts w:ascii="Arial" w:hAnsi="Arial" w:cs="Arial"/>
            <w:b/>
            <w:sz w:val="16"/>
            <w:szCs w:val="16"/>
          </w:rPr>
          <w:fldChar w:fldCharType="end"/>
        </w:r>
        <w:r w:rsidRPr="006B2714">
          <w:rPr>
            <w:rFonts w:ascii="Arial" w:hAnsi="Arial" w:cs="Arial"/>
            <w:sz w:val="16"/>
            <w:szCs w:val="16"/>
          </w:rPr>
          <w:t>/</w:t>
        </w:r>
        <w:r w:rsidR="003D519A">
          <w:rPr>
            <w:rFonts w:ascii="Arial" w:hAnsi="Arial" w:cs="Arial"/>
            <w:noProof/>
            <w:sz w:val="16"/>
            <w:szCs w:val="16"/>
          </w:rPr>
          <w:fldChar w:fldCharType="begin"/>
        </w:r>
        <w:r w:rsidR="003D519A">
          <w:rPr>
            <w:rFonts w:ascii="Arial" w:hAnsi="Arial" w:cs="Arial"/>
            <w:noProof/>
            <w:sz w:val="16"/>
            <w:szCs w:val="16"/>
          </w:rPr>
          <w:instrText xml:space="preserve"> NUMPAGES  \* Arabic  \* MERGEFORMAT </w:instrText>
        </w:r>
        <w:r w:rsidR="003D519A">
          <w:rPr>
            <w:rFonts w:ascii="Arial" w:hAnsi="Arial" w:cs="Arial"/>
            <w:noProof/>
            <w:sz w:val="16"/>
            <w:szCs w:val="16"/>
          </w:rPr>
          <w:fldChar w:fldCharType="separate"/>
        </w:r>
        <w:r w:rsidR="00C8516E" w:rsidRPr="00C8516E">
          <w:rPr>
            <w:rFonts w:ascii="Arial" w:hAnsi="Arial" w:cs="Arial"/>
            <w:noProof/>
            <w:sz w:val="16"/>
            <w:szCs w:val="16"/>
          </w:rPr>
          <w:t>4</w:t>
        </w:r>
        <w:r w:rsidR="003D519A">
          <w:rPr>
            <w:rFonts w:ascii="Arial" w:hAnsi="Arial" w:cs="Arial"/>
            <w:noProof/>
            <w:sz w:val="16"/>
            <w:szCs w:val="16"/>
          </w:rPr>
          <w:fldChar w:fldCharType="end"/>
        </w:r>
      </w:p>
      <w:p w14:paraId="4071698A" w14:textId="77777777" w:rsidR="00A16F15" w:rsidRDefault="00000000">
        <w:pPr>
          <w:pStyle w:val="Voettekst"/>
          <w:jc w:val="center"/>
        </w:pPr>
      </w:p>
    </w:sdtContent>
  </w:sdt>
  <w:p w14:paraId="59EAB091" w14:textId="77777777" w:rsidR="00A16F15" w:rsidRDefault="00A16F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956C" w14:textId="77777777" w:rsidR="003137C3" w:rsidRDefault="003137C3" w:rsidP="00001C1C">
      <w:pPr>
        <w:spacing w:after="0" w:line="240" w:lineRule="auto"/>
      </w:pPr>
      <w:r>
        <w:separator/>
      </w:r>
    </w:p>
  </w:footnote>
  <w:footnote w:type="continuationSeparator" w:id="0">
    <w:p w14:paraId="1CAA1401" w14:textId="77777777" w:rsidR="003137C3" w:rsidRDefault="003137C3" w:rsidP="00001C1C">
      <w:pPr>
        <w:spacing w:after="0" w:line="240" w:lineRule="auto"/>
      </w:pPr>
      <w:r>
        <w:continuationSeparator/>
      </w:r>
    </w:p>
  </w:footnote>
  <w:footnote w:id="1">
    <w:p w14:paraId="4011F914" w14:textId="6BA8C5B8" w:rsidR="003744B6" w:rsidRPr="00B3314E" w:rsidRDefault="000F388B">
      <w:pPr>
        <w:pStyle w:val="Voetnoottekst"/>
        <w:jc w:val="both"/>
        <w:rPr>
          <w:rFonts w:ascii="Arial" w:hAnsi="Arial" w:cs="Arial"/>
          <w:sz w:val="18"/>
          <w:szCs w:val="18"/>
          <w:lang w:val="en-GB"/>
        </w:rPr>
      </w:pPr>
      <w:r w:rsidRPr="006C7B0F">
        <w:rPr>
          <w:rStyle w:val="Voetnootmarkering"/>
          <w:rFonts w:ascii="Arial" w:hAnsi="Arial" w:cs="Arial"/>
          <w:sz w:val="18"/>
          <w:szCs w:val="18"/>
        </w:rPr>
        <w:footnoteRef/>
      </w:r>
      <w:r w:rsidRPr="00B3314E">
        <w:rPr>
          <w:rFonts w:ascii="Arial" w:hAnsi="Arial" w:cs="Arial"/>
          <w:sz w:val="18"/>
          <w:szCs w:val="18"/>
          <w:lang w:val="en-GB"/>
        </w:rPr>
        <w:t xml:space="preserve"> Law 29/2006, of July 26, on </w:t>
      </w:r>
      <w:r w:rsidR="00962275">
        <w:rPr>
          <w:rFonts w:ascii="Arial" w:hAnsi="Arial" w:cs="Arial"/>
          <w:sz w:val="18"/>
          <w:szCs w:val="18"/>
          <w:lang w:val="en-GB"/>
        </w:rPr>
        <w:t xml:space="preserve">the </w:t>
      </w:r>
      <w:r w:rsidRPr="00B3314E">
        <w:rPr>
          <w:rFonts w:ascii="Arial" w:hAnsi="Arial" w:cs="Arial"/>
          <w:sz w:val="18"/>
          <w:szCs w:val="18"/>
          <w:lang w:val="en-GB"/>
        </w:rPr>
        <w:t xml:space="preserve">guarantees and rational use of </w:t>
      </w:r>
      <w:r w:rsidR="00962275">
        <w:rPr>
          <w:rFonts w:ascii="Arial" w:hAnsi="Arial" w:cs="Arial"/>
          <w:sz w:val="18"/>
          <w:szCs w:val="18"/>
          <w:lang w:val="en-GB"/>
        </w:rPr>
        <w:t>drugs</w:t>
      </w:r>
      <w:r w:rsidRPr="00B3314E">
        <w:rPr>
          <w:rFonts w:ascii="Arial" w:hAnsi="Arial" w:cs="Arial"/>
          <w:sz w:val="18"/>
          <w:szCs w:val="18"/>
          <w:lang w:val="en-GB"/>
        </w:rPr>
        <w:t xml:space="preserve"> and health products ("Medicines Law"</w:t>
      </w:r>
      <w:r w:rsidR="004372CB" w:rsidRPr="00B3314E">
        <w:rPr>
          <w:rFonts w:ascii="Arial" w:hAnsi="Arial" w:cs="Arial"/>
          <w:sz w:val="18"/>
          <w:szCs w:val="18"/>
          <w:lang w:val="en-GB"/>
        </w:rPr>
        <w:t xml:space="preserve">) </w:t>
      </w:r>
      <w:r w:rsidRPr="00B3314E">
        <w:rPr>
          <w:rFonts w:ascii="Arial" w:hAnsi="Arial" w:cs="Arial"/>
          <w:sz w:val="18"/>
          <w:szCs w:val="18"/>
          <w:lang w:val="en-GB"/>
        </w:rPr>
        <w:t xml:space="preserve">as amended by Royal Decree-Law 9/2011, of August 19, </w:t>
      </w:r>
      <w:r w:rsidR="004372CB" w:rsidRPr="00B3314E">
        <w:rPr>
          <w:rFonts w:ascii="Arial" w:hAnsi="Arial" w:cs="Arial"/>
          <w:sz w:val="18"/>
          <w:szCs w:val="18"/>
          <w:lang w:val="en-GB"/>
        </w:rPr>
        <w:t>whose Fourteenth Additional Provision provides that a "homogeneous grouping" includes "</w:t>
      </w:r>
      <w:r w:rsidR="004372CB" w:rsidRPr="00B3314E">
        <w:rPr>
          <w:rFonts w:ascii="Arial" w:hAnsi="Arial" w:cs="Arial"/>
          <w:i/>
          <w:iCs/>
          <w:sz w:val="18"/>
          <w:szCs w:val="18"/>
          <w:lang w:val="en-GB"/>
        </w:rPr>
        <w:t xml:space="preserve">the presentations of medicines financed with the same active ingredient(s) in terms of dose, content, pharmaceutical form or grouping of pharmaceutical forms, and </w:t>
      </w:r>
      <w:r w:rsidR="00906755">
        <w:rPr>
          <w:rFonts w:ascii="Arial" w:hAnsi="Arial" w:cs="Arial"/>
          <w:i/>
          <w:iCs/>
          <w:sz w:val="18"/>
          <w:szCs w:val="18"/>
          <w:lang w:val="en-GB"/>
        </w:rPr>
        <w:t>method</w:t>
      </w:r>
      <w:r w:rsidR="004372CB" w:rsidRPr="00B3314E">
        <w:rPr>
          <w:rFonts w:ascii="Arial" w:hAnsi="Arial" w:cs="Arial"/>
          <w:i/>
          <w:iCs/>
          <w:sz w:val="18"/>
          <w:szCs w:val="18"/>
          <w:lang w:val="en-GB"/>
        </w:rPr>
        <w:t xml:space="preserve"> of administration, which may be </w:t>
      </w:r>
      <w:r w:rsidR="00906755">
        <w:rPr>
          <w:rFonts w:ascii="Arial" w:hAnsi="Arial" w:cs="Arial"/>
          <w:i/>
          <w:iCs/>
          <w:sz w:val="18"/>
          <w:szCs w:val="18"/>
          <w:lang w:val="en-GB"/>
        </w:rPr>
        <w:t>interchangeable</w:t>
      </w:r>
      <w:r w:rsidR="004372CB" w:rsidRPr="00B3314E">
        <w:rPr>
          <w:rFonts w:ascii="Arial" w:hAnsi="Arial" w:cs="Arial"/>
          <w:i/>
          <w:iCs/>
          <w:sz w:val="18"/>
          <w:szCs w:val="18"/>
          <w:lang w:val="en-GB"/>
        </w:rPr>
        <w:t xml:space="preserve"> in their dispensing</w:t>
      </w:r>
      <w:r w:rsidR="004372CB" w:rsidRPr="00B3314E">
        <w:rPr>
          <w:rFonts w:ascii="Arial" w:hAnsi="Arial" w:cs="Arial"/>
          <w:sz w:val="18"/>
          <w:szCs w:val="18"/>
          <w:lang w:val="en-GB"/>
        </w:rPr>
        <w:t xml:space="preserve">". </w:t>
      </w:r>
    </w:p>
    <w:p w14:paraId="0C8D4844" w14:textId="77777777" w:rsidR="00B950F2" w:rsidRPr="00B3314E" w:rsidRDefault="00B950F2">
      <w:pPr>
        <w:pStyle w:val="Voetnootteks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0C21" w14:textId="77777777" w:rsidR="003744B6" w:rsidRDefault="000F388B">
    <w:pPr>
      <w:pStyle w:val="Koptekst"/>
    </w:pPr>
    <w:r>
      <w:rPr>
        <w:noProof/>
      </w:rPr>
      <w:drawing>
        <wp:anchor distT="0" distB="0" distL="114300" distR="114300" simplePos="0" relativeHeight="251662336" behindDoc="0" locked="0" layoutInCell="1" allowOverlap="1" wp14:anchorId="500F7F08" wp14:editId="7D8943F9">
          <wp:simplePos x="0" y="0"/>
          <wp:positionH relativeFrom="margin">
            <wp:posOffset>0</wp:posOffset>
          </wp:positionH>
          <wp:positionV relativeFrom="page">
            <wp:posOffset>408305</wp:posOffset>
          </wp:positionV>
          <wp:extent cx="1646555" cy="638175"/>
          <wp:effectExtent l="0" t="0" r="0" b="9525"/>
          <wp:wrapNone/>
          <wp:docPr id="33"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9528"/>
                  <a:stretch/>
                </pic:blipFill>
                <pic:spPr bwMode="auto">
                  <a:xfrm>
                    <a:off x="0" y="0"/>
                    <a:ext cx="164655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366C">
      <w:rPr>
        <w:noProof/>
      </w:rPr>
      <mc:AlternateContent>
        <mc:Choice Requires="wps">
          <w:drawing>
            <wp:anchor distT="0" distB="0" distL="114300" distR="114300" simplePos="0" relativeHeight="251660288" behindDoc="0" locked="0" layoutInCell="1" allowOverlap="1" wp14:anchorId="1601A125" wp14:editId="578FBB51">
              <wp:simplePos x="0" y="0"/>
              <wp:positionH relativeFrom="column">
                <wp:posOffset>4443730</wp:posOffset>
              </wp:positionH>
              <wp:positionV relativeFrom="paragraph">
                <wp:posOffset>82550</wp:posOffset>
              </wp:positionV>
              <wp:extent cx="1885315" cy="5092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18B9A" w14:textId="77777777" w:rsidR="003744B6" w:rsidRDefault="000F388B">
                          <w:pPr>
                            <w:spacing w:after="0" w:line="312" w:lineRule="auto"/>
                            <w:jc w:val="right"/>
                            <w:rPr>
                              <w:rFonts w:ascii="Arial" w:hAnsi="Arial" w:cs="Arial"/>
                              <w:b/>
                              <w:smallCaps/>
                              <w:color w:val="64645D"/>
                            </w:rPr>
                          </w:pPr>
                          <w:r w:rsidRPr="00D50C6B">
                            <w:rPr>
                              <w:rFonts w:ascii="Arial" w:hAnsi="Arial" w:cs="Arial"/>
                              <w:b/>
                              <w:smallCaps/>
                              <w:color w:val="64645D"/>
                            </w:rPr>
                            <w:t>EPLAW Patent Blog</w:t>
                          </w:r>
                        </w:p>
                        <w:p w14:paraId="1CF56A50" w14:textId="08201655" w:rsidR="003744B6" w:rsidRDefault="007269A5">
                          <w:pPr>
                            <w:spacing w:after="0" w:line="312" w:lineRule="auto"/>
                            <w:jc w:val="right"/>
                            <w:rPr>
                              <w:rFonts w:ascii="Arial" w:hAnsi="Arial" w:cs="Arial"/>
                              <w:b/>
                              <w:smallCaps/>
                              <w:color w:val="64645D"/>
                            </w:rPr>
                          </w:pPr>
                          <w:r>
                            <w:rPr>
                              <w:rFonts w:ascii="Arial" w:hAnsi="Arial" w:cs="Arial"/>
                              <w:b/>
                              <w:smallCaps/>
                              <w:color w:val="64645D"/>
                            </w:rPr>
                            <w:t>June</w:t>
                          </w:r>
                          <w:r w:rsidR="000F388B">
                            <w:rPr>
                              <w:rFonts w:ascii="Arial" w:hAnsi="Arial" w:cs="Arial"/>
                              <w:b/>
                              <w:smallCaps/>
                              <w:color w:val="64645D"/>
                            </w:rPr>
                            <w:t xml:space="preserve"> </w:t>
                          </w:r>
                          <w:r w:rsidR="008D482C">
                            <w:rPr>
                              <w:rFonts w:ascii="Arial" w:hAnsi="Arial" w:cs="Arial"/>
                              <w:b/>
                              <w:smallCaps/>
                              <w:color w:val="64645D"/>
                            </w:rPr>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01A125" id="_x0000_t202" coordsize="21600,21600" o:spt="202" path="m,l,21600r21600,l21600,xe">
              <v:stroke joinstyle="miter"/>
              <v:path gradientshapeok="t" o:connecttype="rect"/>
            </v:shapetype>
            <v:shape id="Text Box 1" o:spid="_x0000_s1026" type="#_x0000_t202" style="position:absolute;margin-left:349.9pt;margin-top:6.5pt;width:148.4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" stroked="f">
              <v:textbox style="mso-fit-shape-to-text:t">
                <w:txbxContent>
                  <w:p w14:paraId="37218B9A" w14:textId="77777777" w:rsidR="003744B6" w:rsidRDefault="000F388B">
                    <w:pPr>
                      <w:spacing w:after="0" w:line="312" w:lineRule="auto"/>
                      <w:jc w:val="right"/>
                      <w:rPr>
                        <w:rFonts w:ascii="Arial" w:hAnsi="Arial" w:cs="Arial"/>
                        <w:b/>
                        <w:smallCaps/>
                        <w:color w:val="64645D"/>
                      </w:rPr>
                    </w:pPr>
                    <w:r w:rsidRPr="00D50C6B">
                      <w:rPr>
                        <w:rFonts w:ascii="Arial" w:hAnsi="Arial" w:cs="Arial"/>
                        <w:b/>
                        <w:smallCaps/>
                        <w:color w:val="64645D"/>
                      </w:rPr>
                      <w:t>EPLAW Patent Blog</w:t>
                    </w:r>
                  </w:p>
                  <w:p w14:paraId="1CF56A50" w14:textId="08201655" w:rsidR="003744B6" w:rsidRDefault="007269A5">
                    <w:pPr>
                      <w:spacing w:after="0" w:line="312" w:lineRule="auto"/>
                      <w:jc w:val="right"/>
                      <w:rPr>
                        <w:rFonts w:ascii="Arial" w:hAnsi="Arial" w:cs="Arial"/>
                        <w:b/>
                        <w:smallCaps/>
                        <w:color w:val="64645D"/>
                      </w:rPr>
                    </w:pPr>
                    <w:r>
                      <w:rPr>
                        <w:rFonts w:ascii="Arial" w:hAnsi="Arial" w:cs="Arial"/>
                        <w:b/>
                        <w:smallCaps/>
                        <w:color w:val="64645D"/>
                      </w:rPr>
                      <w:t>June</w:t>
                    </w:r>
                    <w:r w:rsidR="000F388B">
                      <w:rPr>
                        <w:rFonts w:ascii="Arial" w:hAnsi="Arial" w:cs="Arial"/>
                        <w:b/>
                        <w:smallCaps/>
                        <w:color w:val="64645D"/>
                      </w:rPr>
                      <w:t xml:space="preserve"> </w:t>
                    </w:r>
                    <w:r w:rsidR="008D482C">
                      <w:rPr>
                        <w:rFonts w:ascii="Arial" w:hAnsi="Arial" w:cs="Arial"/>
                        <w:b/>
                        <w:smallCaps/>
                        <w:color w:val="64645D"/>
                      </w:rPr>
                      <w:t>2024</w:t>
                    </w:r>
                  </w:p>
                </w:txbxContent>
              </v:textbox>
            </v:shape>
          </w:pict>
        </mc:Fallback>
      </mc:AlternateContent>
    </w:r>
    <w:r w:rsidR="00A16F15">
      <w:tab/>
    </w:r>
    <w:r w:rsidR="00A16F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1F5"/>
    <w:multiLevelType w:val="hybridMultilevel"/>
    <w:tmpl w:val="40DE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C5E20"/>
    <w:multiLevelType w:val="hybridMultilevel"/>
    <w:tmpl w:val="8994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F4F40"/>
    <w:multiLevelType w:val="hybridMultilevel"/>
    <w:tmpl w:val="2C181F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BB7DAF"/>
    <w:multiLevelType w:val="hybridMultilevel"/>
    <w:tmpl w:val="A1581CFE"/>
    <w:lvl w:ilvl="0" w:tplc="C4CC641C">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27B91"/>
    <w:multiLevelType w:val="hybridMultilevel"/>
    <w:tmpl w:val="993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73815"/>
    <w:multiLevelType w:val="hybridMultilevel"/>
    <w:tmpl w:val="492EE74C"/>
    <w:lvl w:ilvl="0" w:tplc="A8D68D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AF2"/>
    <w:multiLevelType w:val="hybridMultilevel"/>
    <w:tmpl w:val="BF72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3EE"/>
    <w:multiLevelType w:val="hybridMultilevel"/>
    <w:tmpl w:val="E22066D6"/>
    <w:lvl w:ilvl="0" w:tplc="F2228170">
      <w:start w:val="3"/>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AB76425"/>
    <w:multiLevelType w:val="hybridMultilevel"/>
    <w:tmpl w:val="B420DD58"/>
    <w:lvl w:ilvl="0" w:tplc="156892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C3DEE"/>
    <w:multiLevelType w:val="hybridMultilevel"/>
    <w:tmpl w:val="8954BFC2"/>
    <w:lvl w:ilvl="0" w:tplc="5846CC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55115"/>
    <w:multiLevelType w:val="multilevel"/>
    <w:tmpl w:val="C32ADB1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4A72AD"/>
    <w:multiLevelType w:val="hybridMultilevel"/>
    <w:tmpl w:val="4146AF30"/>
    <w:lvl w:ilvl="0" w:tplc="587C01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10844"/>
    <w:multiLevelType w:val="hybridMultilevel"/>
    <w:tmpl w:val="840A1B46"/>
    <w:lvl w:ilvl="0" w:tplc="B44EA4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C10CF"/>
    <w:multiLevelType w:val="hybridMultilevel"/>
    <w:tmpl w:val="34389F56"/>
    <w:lvl w:ilvl="0" w:tplc="10C6E3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9C54012"/>
    <w:multiLevelType w:val="hybridMultilevel"/>
    <w:tmpl w:val="DBFC1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B57038"/>
    <w:multiLevelType w:val="hybridMultilevel"/>
    <w:tmpl w:val="82EE6628"/>
    <w:lvl w:ilvl="0" w:tplc="D5EE96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611C2"/>
    <w:multiLevelType w:val="hybridMultilevel"/>
    <w:tmpl w:val="4998D894"/>
    <w:lvl w:ilvl="0" w:tplc="65DAD5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70C42"/>
    <w:multiLevelType w:val="hybridMultilevel"/>
    <w:tmpl w:val="28A838A6"/>
    <w:lvl w:ilvl="0" w:tplc="F2228170">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A0284F"/>
    <w:multiLevelType w:val="hybridMultilevel"/>
    <w:tmpl w:val="D612F69E"/>
    <w:lvl w:ilvl="0" w:tplc="DC8A271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C7CB5"/>
    <w:multiLevelType w:val="hybridMultilevel"/>
    <w:tmpl w:val="0406ADF6"/>
    <w:lvl w:ilvl="0" w:tplc="F2228170">
      <w:start w:val="3"/>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7590841"/>
    <w:multiLevelType w:val="hybridMultilevel"/>
    <w:tmpl w:val="7E48351A"/>
    <w:lvl w:ilvl="0" w:tplc="F0BAD4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B7F95"/>
    <w:multiLevelType w:val="hybridMultilevel"/>
    <w:tmpl w:val="743C9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21F0A"/>
    <w:multiLevelType w:val="hybridMultilevel"/>
    <w:tmpl w:val="BD944EAC"/>
    <w:lvl w:ilvl="0" w:tplc="71125E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2733C3"/>
    <w:multiLevelType w:val="hybridMultilevel"/>
    <w:tmpl w:val="0FB04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827694">
    <w:abstractNumId w:val="18"/>
  </w:num>
  <w:num w:numId="2" w16cid:durableId="444811561">
    <w:abstractNumId w:val="9"/>
  </w:num>
  <w:num w:numId="3" w16cid:durableId="921792194">
    <w:abstractNumId w:val="23"/>
  </w:num>
  <w:num w:numId="4" w16cid:durableId="1197545893">
    <w:abstractNumId w:val="21"/>
  </w:num>
  <w:num w:numId="5" w16cid:durableId="13071745">
    <w:abstractNumId w:val="20"/>
  </w:num>
  <w:num w:numId="6" w16cid:durableId="1693996258">
    <w:abstractNumId w:val="17"/>
  </w:num>
  <w:num w:numId="7" w16cid:durableId="1112826597">
    <w:abstractNumId w:val="13"/>
  </w:num>
  <w:num w:numId="8" w16cid:durableId="1225533264">
    <w:abstractNumId w:val="19"/>
  </w:num>
  <w:num w:numId="9" w16cid:durableId="1426226592">
    <w:abstractNumId w:val="7"/>
  </w:num>
  <w:num w:numId="10" w16cid:durableId="1599176535">
    <w:abstractNumId w:val="2"/>
  </w:num>
  <w:num w:numId="11" w16cid:durableId="2113896117">
    <w:abstractNumId w:val="14"/>
  </w:num>
  <w:num w:numId="12" w16cid:durableId="804586710">
    <w:abstractNumId w:val="12"/>
  </w:num>
  <w:num w:numId="13" w16cid:durableId="1855530204">
    <w:abstractNumId w:val="1"/>
  </w:num>
  <w:num w:numId="14" w16cid:durableId="1838691709">
    <w:abstractNumId w:val="6"/>
  </w:num>
  <w:num w:numId="15" w16cid:durableId="1189949244">
    <w:abstractNumId w:val="4"/>
  </w:num>
  <w:num w:numId="16" w16cid:durableId="919677080">
    <w:abstractNumId w:val="11"/>
  </w:num>
  <w:num w:numId="17" w16cid:durableId="1008407868">
    <w:abstractNumId w:val="0"/>
  </w:num>
  <w:num w:numId="18" w16cid:durableId="1526168111">
    <w:abstractNumId w:val="10"/>
  </w:num>
  <w:num w:numId="19" w16cid:durableId="1375737419">
    <w:abstractNumId w:val="5"/>
  </w:num>
  <w:num w:numId="20" w16cid:durableId="1040207404">
    <w:abstractNumId w:val="16"/>
  </w:num>
  <w:num w:numId="21" w16cid:durableId="1492139884">
    <w:abstractNumId w:val="3"/>
  </w:num>
  <w:num w:numId="22" w16cid:durableId="878510844">
    <w:abstractNumId w:val="22"/>
  </w:num>
  <w:num w:numId="23" w16cid:durableId="2016808350">
    <w:abstractNumId w:val="8"/>
  </w:num>
  <w:num w:numId="24" w16cid:durableId="1879930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BC"/>
    <w:rsid w:val="00001227"/>
    <w:rsid w:val="00001848"/>
    <w:rsid w:val="0000192C"/>
    <w:rsid w:val="00001C1C"/>
    <w:rsid w:val="00002D3B"/>
    <w:rsid w:val="00004E22"/>
    <w:rsid w:val="00007999"/>
    <w:rsid w:val="00010F74"/>
    <w:rsid w:val="0001102A"/>
    <w:rsid w:val="00011696"/>
    <w:rsid w:val="00012D17"/>
    <w:rsid w:val="00014199"/>
    <w:rsid w:val="00014400"/>
    <w:rsid w:val="000153F1"/>
    <w:rsid w:val="00015626"/>
    <w:rsid w:val="00016455"/>
    <w:rsid w:val="00016AB5"/>
    <w:rsid w:val="00016FAE"/>
    <w:rsid w:val="000214EC"/>
    <w:rsid w:val="000225B2"/>
    <w:rsid w:val="00031C6D"/>
    <w:rsid w:val="00033FEE"/>
    <w:rsid w:val="000340FC"/>
    <w:rsid w:val="000363A0"/>
    <w:rsid w:val="00036F72"/>
    <w:rsid w:val="00037EA9"/>
    <w:rsid w:val="000403FC"/>
    <w:rsid w:val="0004124C"/>
    <w:rsid w:val="0004135B"/>
    <w:rsid w:val="00041FD3"/>
    <w:rsid w:val="00042534"/>
    <w:rsid w:val="00044F96"/>
    <w:rsid w:val="00045A19"/>
    <w:rsid w:val="00046592"/>
    <w:rsid w:val="00047DD8"/>
    <w:rsid w:val="00051034"/>
    <w:rsid w:val="000513FD"/>
    <w:rsid w:val="000559DC"/>
    <w:rsid w:val="00055A1E"/>
    <w:rsid w:val="00055D3F"/>
    <w:rsid w:val="00062453"/>
    <w:rsid w:val="000642FE"/>
    <w:rsid w:val="00065F2A"/>
    <w:rsid w:val="000670CF"/>
    <w:rsid w:val="00067821"/>
    <w:rsid w:val="00070618"/>
    <w:rsid w:val="000706AA"/>
    <w:rsid w:val="000725CD"/>
    <w:rsid w:val="000734D5"/>
    <w:rsid w:val="00074A9A"/>
    <w:rsid w:val="00076E6A"/>
    <w:rsid w:val="000770CE"/>
    <w:rsid w:val="00077610"/>
    <w:rsid w:val="00082ADF"/>
    <w:rsid w:val="00084127"/>
    <w:rsid w:val="000873A2"/>
    <w:rsid w:val="00090A96"/>
    <w:rsid w:val="000917C9"/>
    <w:rsid w:val="00091A31"/>
    <w:rsid w:val="00091C65"/>
    <w:rsid w:val="00091EE1"/>
    <w:rsid w:val="000935C1"/>
    <w:rsid w:val="00093DF6"/>
    <w:rsid w:val="00094E94"/>
    <w:rsid w:val="00096DD1"/>
    <w:rsid w:val="000A02DB"/>
    <w:rsid w:val="000A09A1"/>
    <w:rsid w:val="000A39DA"/>
    <w:rsid w:val="000B04CC"/>
    <w:rsid w:val="000B05EB"/>
    <w:rsid w:val="000B4ECC"/>
    <w:rsid w:val="000B5F99"/>
    <w:rsid w:val="000C39B5"/>
    <w:rsid w:val="000C53D2"/>
    <w:rsid w:val="000C74EA"/>
    <w:rsid w:val="000C773A"/>
    <w:rsid w:val="000D1180"/>
    <w:rsid w:val="000D3BD2"/>
    <w:rsid w:val="000D6500"/>
    <w:rsid w:val="000E2B60"/>
    <w:rsid w:val="000E2C27"/>
    <w:rsid w:val="000E300E"/>
    <w:rsid w:val="000E4041"/>
    <w:rsid w:val="000E4450"/>
    <w:rsid w:val="000E4DCA"/>
    <w:rsid w:val="000F2EF2"/>
    <w:rsid w:val="000F388B"/>
    <w:rsid w:val="000F468A"/>
    <w:rsid w:val="000F5D40"/>
    <w:rsid w:val="000F7EE1"/>
    <w:rsid w:val="00102AEE"/>
    <w:rsid w:val="00103331"/>
    <w:rsid w:val="00105D09"/>
    <w:rsid w:val="001076FA"/>
    <w:rsid w:val="00110128"/>
    <w:rsid w:val="001117FD"/>
    <w:rsid w:val="00112590"/>
    <w:rsid w:val="00114D01"/>
    <w:rsid w:val="0011551F"/>
    <w:rsid w:val="0012104B"/>
    <w:rsid w:val="00121CC5"/>
    <w:rsid w:val="0012235D"/>
    <w:rsid w:val="001238E6"/>
    <w:rsid w:val="00136F3F"/>
    <w:rsid w:val="00140A8D"/>
    <w:rsid w:val="00140F21"/>
    <w:rsid w:val="0014170C"/>
    <w:rsid w:val="001435CD"/>
    <w:rsid w:val="001442AF"/>
    <w:rsid w:val="00145EA0"/>
    <w:rsid w:val="001467D5"/>
    <w:rsid w:val="001503D0"/>
    <w:rsid w:val="00150755"/>
    <w:rsid w:val="0015252A"/>
    <w:rsid w:val="00153F3C"/>
    <w:rsid w:val="001564F5"/>
    <w:rsid w:val="00156F2F"/>
    <w:rsid w:val="001577E2"/>
    <w:rsid w:val="00161131"/>
    <w:rsid w:val="0016176A"/>
    <w:rsid w:val="001659EE"/>
    <w:rsid w:val="00167BB6"/>
    <w:rsid w:val="00167DAF"/>
    <w:rsid w:val="0017376F"/>
    <w:rsid w:val="00176774"/>
    <w:rsid w:val="00176959"/>
    <w:rsid w:val="00177158"/>
    <w:rsid w:val="00180E9E"/>
    <w:rsid w:val="00190B1F"/>
    <w:rsid w:val="00192481"/>
    <w:rsid w:val="00193EE9"/>
    <w:rsid w:val="00194479"/>
    <w:rsid w:val="001A0D5B"/>
    <w:rsid w:val="001A1202"/>
    <w:rsid w:val="001A15EC"/>
    <w:rsid w:val="001A3693"/>
    <w:rsid w:val="001A3F20"/>
    <w:rsid w:val="001A42EC"/>
    <w:rsid w:val="001A5E2D"/>
    <w:rsid w:val="001A6E56"/>
    <w:rsid w:val="001A7758"/>
    <w:rsid w:val="001C02F7"/>
    <w:rsid w:val="001C1D92"/>
    <w:rsid w:val="001C2C51"/>
    <w:rsid w:val="001C32F9"/>
    <w:rsid w:val="001C5CB0"/>
    <w:rsid w:val="001C7143"/>
    <w:rsid w:val="001D1DDA"/>
    <w:rsid w:val="001D28E9"/>
    <w:rsid w:val="001D3C28"/>
    <w:rsid w:val="001D5264"/>
    <w:rsid w:val="001D57F7"/>
    <w:rsid w:val="001D7A44"/>
    <w:rsid w:val="001E03F7"/>
    <w:rsid w:val="001E34C3"/>
    <w:rsid w:val="001E3EA5"/>
    <w:rsid w:val="001E5A62"/>
    <w:rsid w:val="001F3A61"/>
    <w:rsid w:val="001F5419"/>
    <w:rsid w:val="001F5B87"/>
    <w:rsid w:val="001F5BBD"/>
    <w:rsid w:val="00201C9C"/>
    <w:rsid w:val="00202EB3"/>
    <w:rsid w:val="00204495"/>
    <w:rsid w:val="0021166C"/>
    <w:rsid w:val="0021339C"/>
    <w:rsid w:val="00213428"/>
    <w:rsid w:val="00213962"/>
    <w:rsid w:val="00213D67"/>
    <w:rsid w:val="002142AF"/>
    <w:rsid w:val="00214F7A"/>
    <w:rsid w:val="002151A8"/>
    <w:rsid w:val="00215BB2"/>
    <w:rsid w:val="0021673C"/>
    <w:rsid w:val="00221753"/>
    <w:rsid w:val="0022273A"/>
    <w:rsid w:val="0022338E"/>
    <w:rsid w:val="00226D32"/>
    <w:rsid w:val="00226EC6"/>
    <w:rsid w:val="00226F45"/>
    <w:rsid w:val="00232121"/>
    <w:rsid w:val="00234803"/>
    <w:rsid w:val="00234CB7"/>
    <w:rsid w:val="00240116"/>
    <w:rsid w:val="0024188E"/>
    <w:rsid w:val="002443D2"/>
    <w:rsid w:val="00247DBE"/>
    <w:rsid w:val="002522C0"/>
    <w:rsid w:val="00252FD5"/>
    <w:rsid w:val="0025427E"/>
    <w:rsid w:val="00255DCF"/>
    <w:rsid w:val="00257EE0"/>
    <w:rsid w:val="002623C9"/>
    <w:rsid w:val="00262593"/>
    <w:rsid w:val="00263DCE"/>
    <w:rsid w:val="00263F81"/>
    <w:rsid w:val="00264231"/>
    <w:rsid w:val="00265AA9"/>
    <w:rsid w:val="00265B33"/>
    <w:rsid w:val="00266D2F"/>
    <w:rsid w:val="00267557"/>
    <w:rsid w:val="00270F97"/>
    <w:rsid w:val="00272194"/>
    <w:rsid w:val="00272584"/>
    <w:rsid w:val="00272A95"/>
    <w:rsid w:val="002742AA"/>
    <w:rsid w:val="00276EDE"/>
    <w:rsid w:val="0028002C"/>
    <w:rsid w:val="00280E35"/>
    <w:rsid w:val="0028346F"/>
    <w:rsid w:val="002849DD"/>
    <w:rsid w:val="00290D92"/>
    <w:rsid w:val="0029196D"/>
    <w:rsid w:val="00291C59"/>
    <w:rsid w:val="00291E26"/>
    <w:rsid w:val="00291EA5"/>
    <w:rsid w:val="00292367"/>
    <w:rsid w:val="002928E4"/>
    <w:rsid w:val="002933E0"/>
    <w:rsid w:val="00293487"/>
    <w:rsid w:val="00293CE2"/>
    <w:rsid w:val="00295927"/>
    <w:rsid w:val="002A06CB"/>
    <w:rsid w:val="002A3F70"/>
    <w:rsid w:val="002A6D6B"/>
    <w:rsid w:val="002A7F42"/>
    <w:rsid w:val="002B1212"/>
    <w:rsid w:val="002B22F8"/>
    <w:rsid w:val="002B23C4"/>
    <w:rsid w:val="002B26E9"/>
    <w:rsid w:val="002B5A6E"/>
    <w:rsid w:val="002B7201"/>
    <w:rsid w:val="002C0C43"/>
    <w:rsid w:val="002C1AF6"/>
    <w:rsid w:val="002C39FA"/>
    <w:rsid w:val="002C3B93"/>
    <w:rsid w:val="002D22A7"/>
    <w:rsid w:val="002D25F0"/>
    <w:rsid w:val="002D2F4E"/>
    <w:rsid w:val="002D3999"/>
    <w:rsid w:val="002D47FA"/>
    <w:rsid w:val="002D5E78"/>
    <w:rsid w:val="002D6A17"/>
    <w:rsid w:val="002D7E5D"/>
    <w:rsid w:val="002E0441"/>
    <w:rsid w:val="002E0F08"/>
    <w:rsid w:val="002E1101"/>
    <w:rsid w:val="002E1655"/>
    <w:rsid w:val="002E67D2"/>
    <w:rsid w:val="002E776B"/>
    <w:rsid w:val="002F0C39"/>
    <w:rsid w:val="002F108E"/>
    <w:rsid w:val="002F2A51"/>
    <w:rsid w:val="002F2A81"/>
    <w:rsid w:val="002F49B1"/>
    <w:rsid w:val="00300AB1"/>
    <w:rsid w:val="00302017"/>
    <w:rsid w:val="0030357C"/>
    <w:rsid w:val="0030383D"/>
    <w:rsid w:val="00303C09"/>
    <w:rsid w:val="00304E2A"/>
    <w:rsid w:val="00305766"/>
    <w:rsid w:val="00305A7A"/>
    <w:rsid w:val="0031050C"/>
    <w:rsid w:val="003118E6"/>
    <w:rsid w:val="003137C3"/>
    <w:rsid w:val="00316059"/>
    <w:rsid w:val="00316EA9"/>
    <w:rsid w:val="00317097"/>
    <w:rsid w:val="003172E6"/>
    <w:rsid w:val="0032084B"/>
    <w:rsid w:val="0032380E"/>
    <w:rsid w:val="00324017"/>
    <w:rsid w:val="00324D4A"/>
    <w:rsid w:val="003251B8"/>
    <w:rsid w:val="00327749"/>
    <w:rsid w:val="00327838"/>
    <w:rsid w:val="00327E15"/>
    <w:rsid w:val="00335386"/>
    <w:rsid w:val="00335DC5"/>
    <w:rsid w:val="003363FE"/>
    <w:rsid w:val="0034076A"/>
    <w:rsid w:val="00344DD7"/>
    <w:rsid w:val="00345954"/>
    <w:rsid w:val="00346090"/>
    <w:rsid w:val="00347F19"/>
    <w:rsid w:val="0035096D"/>
    <w:rsid w:val="0035573B"/>
    <w:rsid w:val="00360DA2"/>
    <w:rsid w:val="00361FA5"/>
    <w:rsid w:val="00367875"/>
    <w:rsid w:val="00367B55"/>
    <w:rsid w:val="00370AB4"/>
    <w:rsid w:val="00373998"/>
    <w:rsid w:val="00374231"/>
    <w:rsid w:val="003743C5"/>
    <w:rsid w:val="003744B6"/>
    <w:rsid w:val="0037617B"/>
    <w:rsid w:val="00377A30"/>
    <w:rsid w:val="00381B2B"/>
    <w:rsid w:val="00382302"/>
    <w:rsid w:val="00382CA8"/>
    <w:rsid w:val="00387A53"/>
    <w:rsid w:val="00387CB1"/>
    <w:rsid w:val="00394E76"/>
    <w:rsid w:val="003976B7"/>
    <w:rsid w:val="003A43EF"/>
    <w:rsid w:val="003A65A1"/>
    <w:rsid w:val="003A6873"/>
    <w:rsid w:val="003B1D17"/>
    <w:rsid w:val="003B40C6"/>
    <w:rsid w:val="003B480C"/>
    <w:rsid w:val="003B6211"/>
    <w:rsid w:val="003B7BC6"/>
    <w:rsid w:val="003C011B"/>
    <w:rsid w:val="003C135F"/>
    <w:rsid w:val="003C1A41"/>
    <w:rsid w:val="003C2957"/>
    <w:rsid w:val="003C73A0"/>
    <w:rsid w:val="003D1650"/>
    <w:rsid w:val="003D3FBD"/>
    <w:rsid w:val="003D519A"/>
    <w:rsid w:val="003E0A8F"/>
    <w:rsid w:val="003E0E6C"/>
    <w:rsid w:val="003E3984"/>
    <w:rsid w:val="003E4B77"/>
    <w:rsid w:val="003E507B"/>
    <w:rsid w:val="003E724D"/>
    <w:rsid w:val="003F05F3"/>
    <w:rsid w:val="003F57D2"/>
    <w:rsid w:val="003F58C3"/>
    <w:rsid w:val="003F65E0"/>
    <w:rsid w:val="003F7E55"/>
    <w:rsid w:val="004002B0"/>
    <w:rsid w:val="00401657"/>
    <w:rsid w:val="00403056"/>
    <w:rsid w:val="00404DDB"/>
    <w:rsid w:val="00406F3C"/>
    <w:rsid w:val="004070F0"/>
    <w:rsid w:val="0040724F"/>
    <w:rsid w:val="0041118E"/>
    <w:rsid w:val="00411250"/>
    <w:rsid w:val="0041169F"/>
    <w:rsid w:val="004137DA"/>
    <w:rsid w:val="004140A8"/>
    <w:rsid w:val="00415A8C"/>
    <w:rsid w:val="00416D4A"/>
    <w:rsid w:val="004171A7"/>
    <w:rsid w:val="0042257A"/>
    <w:rsid w:val="0042382A"/>
    <w:rsid w:val="004242F8"/>
    <w:rsid w:val="00424A6E"/>
    <w:rsid w:val="0042709F"/>
    <w:rsid w:val="00427D22"/>
    <w:rsid w:val="00432543"/>
    <w:rsid w:val="0043366C"/>
    <w:rsid w:val="004338CB"/>
    <w:rsid w:val="0043550D"/>
    <w:rsid w:val="00436081"/>
    <w:rsid w:val="0043651E"/>
    <w:rsid w:val="004372CB"/>
    <w:rsid w:val="004436EC"/>
    <w:rsid w:val="00444766"/>
    <w:rsid w:val="00446EC9"/>
    <w:rsid w:val="00447522"/>
    <w:rsid w:val="004510DB"/>
    <w:rsid w:val="0045191E"/>
    <w:rsid w:val="004534BB"/>
    <w:rsid w:val="0045413C"/>
    <w:rsid w:val="00454907"/>
    <w:rsid w:val="00454931"/>
    <w:rsid w:val="00455350"/>
    <w:rsid w:val="004558F8"/>
    <w:rsid w:val="00456063"/>
    <w:rsid w:val="00456998"/>
    <w:rsid w:val="004576CA"/>
    <w:rsid w:val="00457E65"/>
    <w:rsid w:val="00457EA2"/>
    <w:rsid w:val="004600A2"/>
    <w:rsid w:val="0046025F"/>
    <w:rsid w:val="00460EF5"/>
    <w:rsid w:val="00461850"/>
    <w:rsid w:val="00462694"/>
    <w:rsid w:val="00462A0D"/>
    <w:rsid w:val="00465889"/>
    <w:rsid w:val="0046706B"/>
    <w:rsid w:val="0047434C"/>
    <w:rsid w:val="00476038"/>
    <w:rsid w:val="00476C9D"/>
    <w:rsid w:val="00477D28"/>
    <w:rsid w:val="004837CD"/>
    <w:rsid w:val="00485FBA"/>
    <w:rsid w:val="00486791"/>
    <w:rsid w:val="004869AF"/>
    <w:rsid w:val="00486F77"/>
    <w:rsid w:val="00492133"/>
    <w:rsid w:val="0049429A"/>
    <w:rsid w:val="004949DD"/>
    <w:rsid w:val="004953D7"/>
    <w:rsid w:val="004973FD"/>
    <w:rsid w:val="004A046F"/>
    <w:rsid w:val="004A15EC"/>
    <w:rsid w:val="004A2D39"/>
    <w:rsid w:val="004A6ACD"/>
    <w:rsid w:val="004A7647"/>
    <w:rsid w:val="004B1C9B"/>
    <w:rsid w:val="004B4075"/>
    <w:rsid w:val="004B4ACD"/>
    <w:rsid w:val="004B5D06"/>
    <w:rsid w:val="004C0C4F"/>
    <w:rsid w:val="004C103F"/>
    <w:rsid w:val="004C2335"/>
    <w:rsid w:val="004C3BBF"/>
    <w:rsid w:val="004C5C87"/>
    <w:rsid w:val="004C757F"/>
    <w:rsid w:val="004D0902"/>
    <w:rsid w:val="004D18D5"/>
    <w:rsid w:val="004D1BB0"/>
    <w:rsid w:val="004D6735"/>
    <w:rsid w:val="004E2A40"/>
    <w:rsid w:val="004E2A93"/>
    <w:rsid w:val="004E5656"/>
    <w:rsid w:val="004E56C7"/>
    <w:rsid w:val="004E5815"/>
    <w:rsid w:val="004E6B28"/>
    <w:rsid w:val="004E73CE"/>
    <w:rsid w:val="004F0E39"/>
    <w:rsid w:val="004F17F9"/>
    <w:rsid w:val="004F19AE"/>
    <w:rsid w:val="004F2751"/>
    <w:rsid w:val="004F2924"/>
    <w:rsid w:val="004F3660"/>
    <w:rsid w:val="004F37D1"/>
    <w:rsid w:val="00500D65"/>
    <w:rsid w:val="0050246A"/>
    <w:rsid w:val="00502AE4"/>
    <w:rsid w:val="00504079"/>
    <w:rsid w:val="0050492A"/>
    <w:rsid w:val="00506A06"/>
    <w:rsid w:val="00507F18"/>
    <w:rsid w:val="005109B2"/>
    <w:rsid w:val="00511F62"/>
    <w:rsid w:val="00512B3E"/>
    <w:rsid w:val="00514918"/>
    <w:rsid w:val="00515BC1"/>
    <w:rsid w:val="0052026D"/>
    <w:rsid w:val="005205D9"/>
    <w:rsid w:val="0052089A"/>
    <w:rsid w:val="00522460"/>
    <w:rsid w:val="00523286"/>
    <w:rsid w:val="0052336C"/>
    <w:rsid w:val="005264AB"/>
    <w:rsid w:val="0052745C"/>
    <w:rsid w:val="00531992"/>
    <w:rsid w:val="00531B55"/>
    <w:rsid w:val="005345BE"/>
    <w:rsid w:val="00534DA6"/>
    <w:rsid w:val="005362C0"/>
    <w:rsid w:val="00537DAD"/>
    <w:rsid w:val="00540A96"/>
    <w:rsid w:val="00540B54"/>
    <w:rsid w:val="00550E2F"/>
    <w:rsid w:val="0055273D"/>
    <w:rsid w:val="0055338A"/>
    <w:rsid w:val="005539BC"/>
    <w:rsid w:val="00554319"/>
    <w:rsid w:val="00554AA1"/>
    <w:rsid w:val="00556C99"/>
    <w:rsid w:val="00561796"/>
    <w:rsid w:val="00566905"/>
    <w:rsid w:val="00567747"/>
    <w:rsid w:val="00567E36"/>
    <w:rsid w:val="00571F69"/>
    <w:rsid w:val="005724F4"/>
    <w:rsid w:val="00575C21"/>
    <w:rsid w:val="005816A7"/>
    <w:rsid w:val="0058249E"/>
    <w:rsid w:val="00582B12"/>
    <w:rsid w:val="0058346D"/>
    <w:rsid w:val="0058455B"/>
    <w:rsid w:val="00585AD8"/>
    <w:rsid w:val="0058770C"/>
    <w:rsid w:val="00590197"/>
    <w:rsid w:val="0059361B"/>
    <w:rsid w:val="005A0593"/>
    <w:rsid w:val="005A27F2"/>
    <w:rsid w:val="005A3346"/>
    <w:rsid w:val="005A5F6A"/>
    <w:rsid w:val="005A79FC"/>
    <w:rsid w:val="005A7B04"/>
    <w:rsid w:val="005B172B"/>
    <w:rsid w:val="005B2365"/>
    <w:rsid w:val="005B349E"/>
    <w:rsid w:val="005B3647"/>
    <w:rsid w:val="005B456F"/>
    <w:rsid w:val="005B66BC"/>
    <w:rsid w:val="005B6F6D"/>
    <w:rsid w:val="005C121A"/>
    <w:rsid w:val="005C21E7"/>
    <w:rsid w:val="005C37AA"/>
    <w:rsid w:val="005C6B57"/>
    <w:rsid w:val="005C7A32"/>
    <w:rsid w:val="005D1C3D"/>
    <w:rsid w:val="005D327F"/>
    <w:rsid w:val="005D330D"/>
    <w:rsid w:val="005D4141"/>
    <w:rsid w:val="005D6F16"/>
    <w:rsid w:val="005E0D6C"/>
    <w:rsid w:val="005E0E43"/>
    <w:rsid w:val="005E1598"/>
    <w:rsid w:val="005E2B56"/>
    <w:rsid w:val="005E4168"/>
    <w:rsid w:val="005E5B3E"/>
    <w:rsid w:val="005F41E2"/>
    <w:rsid w:val="005F4B2B"/>
    <w:rsid w:val="005F4C9C"/>
    <w:rsid w:val="005F562C"/>
    <w:rsid w:val="005F688E"/>
    <w:rsid w:val="005F6EB1"/>
    <w:rsid w:val="005F7309"/>
    <w:rsid w:val="00600858"/>
    <w:rsid w:val="00602243"/>
    <w:rsid w:val="00602F83"/>
    <w:rsid w:val="00602FF2"/>
    <w:rsid w:val="00604E4F"/>
    <w:rsid w:val="00610B9E"/>
    <w:rsid w:val="00611675"/>
    <w:rsid w:val="006147B4"/>
    <w:rsid w:val="00623A61"/>
    <w:rsid w:val="0062455A"/>
    <w:rsid w:val="006265F1"/>
    <w:rsid w:val="006344ED"/>
    <w:rsid w:val="00636A2A"/>
    <w:rsid w:val="006376C2"/>
    <w:rsid w:val="00637C45"/>
    <w:rsid w:val="00640695"/>
    <w:rsid w:val="00646BC1"/>
    <w:rsid w:val="00646D8D"/>
    <w:rsid w:val="00646EEC"/>
    <w:rsid w:val="0064771A"/>
    <w:rsid w:val="006528D7"/>
    <w:rsid w:val="00653931"/>
    <w:rsid w:val="00655CDE"/>
    <w:rsid w:val="006605DF"/>
    <w:rsid w:val="00661177"/>
    <w:rsid w:val="00663280"/>
    <w:rsid w:val="006635EC"/>
    <w:rsid w:val="00663E04"/>
    <w:rsid w:val="006646A0"/>
    <w:rsid w:val="00664CA0"/>
    <w:rsid w:val="00672610"/>
    <w:rsid w:val="006756F9"/>
    <w:rsid w:val="00675B6C"/>
    <w:rsid w:val="00680239"/>
    <w:rsid w:val="006806C7"/>
    <w:rsid w:val="00680AD0"/>
    <w:rsid w:val="00681EF5"/>
    <w:rsid w:val="00685EB5"/>
    <w:rsid w:val="00686941"/>
    <w:rsid w:val="006908E6"/>
    <w:rsid w:val="006926B1"/>
    <w:rsid w:val="006947EC"/>
    <w:rsid w:val="006954D6"/>
    <w:rsid w:val="006968F0"/>
    <w:rsid w:val="006A0C75"/>
    <w:rsid w:val="006A33BF"/>
    <w:rsid w:val="006A3BFD"/>
    <w:rsid w:val="006A4F7B"/>
    <w:rsid w:val="006A56BC"/>
    <w:rsid w:val="006A5DE4"/>
    <w:rsid w:val="006A5F67"/>
    <w:rsid w:val="006A768B"/>
    <w:rsid w:val="006A7AD5"/>
    <w:rsid w:val="006B1E50"/>
    <w:rsid w:val="006B2714"/>
    <w:rsid w:val="006B3896"/>
    <w:rsid w:val="006B549F"/>
    <w:rsid w:val="006B6E4E"/>
    <w:rsid w:val="006C1F60"/>
    <w:rsid w:val="006C2565"/>
    <w:rsid w:val="006C4B6A"/>
    <w:rsid w:val="006C549F"/>
    <w:rsid w:val="006C5F7E"/>
    <w:rsid w:val="006C7B0F"/>
    <w:rsid w:val="006D610C"/>
    <w:rsid w:val="006E13FC"/>
    <w:rsid w:val="006E566D"/>
    <w:rsid w:val="006E72B5"/>
    <w:rsid w:val="006F6BA1"/>
    <w:rsid w:val="006F7EA5"/>
    <w:rsid w:val="007026A5"/>
    <w:rsid w:val="0070361F"/>
    <w:rsid w:val="00703C65"/>
    <w:rsid w:val="00704CF8"/>
    <w:rsid w:val="00705798"/>
    <w:rsid w:val="007130DD"/>
    <w:rsid w:val="007140AB"/>
    <w:rsid w:val="007168BF"/>
    <w:rsid w:val="00716CD4"/>
    <w:rsid w:val="007211A0"/>
    <w:rsid w:val="0072272E"/>
    <w:rsid w:val="007239B2"/>
    <w:rsid w:val="00723F74"/>
    <w:rsid w:val="0072414E"/>
    <w:rsid w:val="007269A5"/>
    <w:rsid w:val="00731D9E"/>
    <w:rsid w:val="007321BA"/>
    <w:rsid w:val="007338AE"/>
    <w:rsid w:val="00733941"/>
    <w:rsid w:val="00736DA9"/>
    <w:rsid w:val="00744259"/>
    <w:rsid w:val="00745519"/>
    <w:rsid w:val="00745721"/>
    <w:rsid w:val="00746B3F"/>
    <w:rsid w:val="00750061"/>
    <w:rsid w:val="00753004"/>
    <w:rsid w:val="00753986"/>
    <w:rsid w:val="00755421"/>
    <w:rsid w:val="00756163"/>
    <w:rsid w:val="007569C2"/>
    <w:rsid w:val="00757087"/>
    <w:rsid w:val="00760C13"/>
    <w:rsid w:val="00762B5D"/>
    <w:rsid w:val="00762B7F"/>
    <w:rsid w:val="00762D56"/>
    <w:rsid w:val="00764940"/>
    <w:rsid w:val="00765273"/>
    <w:rsid w:val="00766B36"/>
    <w:rsid w:val="007728EB"/>
    <w:rsid w:val="00772E89"/>
    <w:rsid w:val="00773528"/>
    <w:rsid w:val="00774841"/>
    <w:rsid w:val="00776C43"/>
    <w:rsid w:val="007771E4"/>
    <w:rsid w:val="007775C2"/>
    <w:rsid w:val="00780727"/>
    <w:rsid w:val="007845F8"/>
    <w:rsid w:val="007849A4"/>
    <w:rsid w:val="0078571E"/>
    <w:rsid w:val="00785843"/>
    <w:rsid w:val="0078666A"/>
    <w:rsid w:val="00790310"/>
    <w:rsid w:val="00790D90"/>
    <w:rsid w:val="007946A8"/>
    <w:rsid w:val="00795E06"/>
    <w:rsid w:val="00795E2F"/>
    <w:rsid w:val="00796078"/>
    <w:rsid w:val="00796714"/>
    <w:rsid w:val="00797283"/>
    <w:rsid w:val="007977AE"/>
    <w:rsid w:val="007A012F"/>
    <w:rsid w:val="007A041C"/>
    <w:rsid w:val="007A0FC2"/>
    <w:rsid w:val="007A3AD5"/>
    <w:rsid w:val="007A6289"/>
    <w:rsid w:val="007A687F"/>
    <w:rsid w:val="007B0347"/>
    <w:rsid w:val="007B4429"/>
    <w:rsid w:val="007B56B8"/>
    <w:rsid w:val="007B5803"/>
    <w:rsid w:val="007B5E43"/>
    <w:rsid w:val="007C3460"/>
    <w:rsid w:val="007C36E7"/>
    <w:rsid w:val="007C48DD"/>
    <w:rsid w:val="007C59AE"/>
    <w:rsid w:val="007C6704"/>
    <w:rsid w:val="007C7007"/>
    <w:rsid w:val="007D016F"/>
    <w:rsid w:val="007D335C"/>
    <w:rsid w:val="007D4C11"/>
    <w:rsid w:val="007D5D3E"/>
    <w:rsid w:val="007D64DD"/>
    <w:rsid w:val="007D7EB7"/>
    <w:rsid w:val="007E2975"/>
    <w:rsid w:val="007E2E9B"/>
    <w:rsid w:val="007E4D10"/>
    <w:rsid w:val="007F0E61"/>
    <w:rsid w:val="007F15FC"/>
    <w:rsid w:val="007F26E0"/>
    <w:rsid w:val="007F2B4E"/>
    <w:rsid w:val="007F3061"/>
    <w:rsid w:val="007F3216"/>
    <w:rsid w:val="007F4332"/>
    <w:rsid w:val="007F4EC2"/>
    <w:rsid w:val="00801147"/>
    <w:rsid w:val="00801314"/>
    <w:rsid w:val="00801FD9"/>
    <w:rsid w:val="008049CE"/>
    <w:rsid w:val="008061A6"/>
    <w:rsid w:val="00806DD7"/>
    <w:rsid w:val="00811C44"/>
    <w:rsid w:val="00815D48"/>
    <w:rsid w:val="00820A65"/>
    <w:rsid w:val="00821479"/>
    <w:rsid w:val="00821F93"/>
    <w:rsid w:val="00823D2E"/>
    <w:rsid w:val="00824CA1"/>
    <w:rsid w:val="008257AB"/>
    <w:rsid w:val="0082679C"/>
    <w:rsid w:val="00827D26"/>
    <w:rsid w:val="00832C7B"/>
    <w:rsid w:val="0083627F"/>
    <w:rsid w:val="008378D4"/>
    <w:rsid w:val="00841CF5"/>
    <w:rsid w:val="00841F4C"/>
    <w:rsid w:val="0084459D"/>
    <w:rsid w:val="00846935"/>
    <w:rsid w:val="00850F1A"/>
    <w:rsid w:val="00851381"/>
    <w:rsid w:val="0085152D"/>
    <w:rsid w:val="00852016"/>
    <w:rsid w:val="008566BF"/>
    <w:rsid w:val="00856C25"/>
    <w:rsid w:val="00861702"/>
    <w:rsid w:val="008619CD"/>
    <w:rsid w:val="00863803"/>
    <w:rsid w:val="00863CC4"/>
    <w:rsid w:val="0086614A"/>
    <w:rsid w:val="00867F27"/>
    <w:rsid w:val="00870871"/>
    <w:rsid w:val="00870D12"/>
    <w:rsid w:val="00872C1B"/>
    <w:rsid w:val="00875618"/>
    <w:rsid w:val="00877E14"/>
    <w:rsid w:val="0088101A"/>
    <w:rsid w:val="0088132C"/>
    <w:rsid w:val="008817D9"/>
    <w:rsid w:val="00882729"/>
    <w:rsid w:val="00885A25"/>
    <w:rsid w:val="00890494"/>
    <w:rsid w:val="008922DB"/>
    <w:rsid w:val="008928DE"/>
    <w:rsid w:val="0089316A"/>
    <w:rsid w:val="00894636"/>
    <w:rsid w:val="008970A0"/>
    <w:rsid w:val="008979D9"/>
    <w:rsid w:val="008A202C"/>
    <w:rsid w:val="008A29DC"/>
    <w:rsid w:val="008A2AFA"/>
    <w:rsid w:val="008B0C90"/>
    <w:rsid w:val="008B279A"/>
    <w:rsid w:val="008B4534"/>
    <w:rsid w:val="008B4A98"/>
    <w:rsid w:val="008C0591"/>
    <w:rsid w:val="008C162C"/>
    <w:rsid w:val="008C231C"/>
    <w:rsid w:val="008C39CA"/>
    <w:rsid w:val="008C3BFC"/>
    <w:rsid w:val="008C5B08"/>
    <w:rsid w:val="008C6E6A"/>
    <w:rsid w:val="008D3880"/>
    <w:rsid w:val="008D4172"/>
    <w:rsid w:val="008D482C"/>
    <w:rsid w:val="008D53F9"/>
    <w:rsid w:val="008D5E70"/>
    <w:rsid w:val="008D788C"/>
    <w:rsid w:val="008E2330"/>
    <w:rsid w:val="008E3897"/>
    <w:rsid w:val="008E59A2"/>
    <w:rsid w:val="008E5E3F"/>
    <w:rsid w:val="008E706A"/>
    <w:rsid w:val="008E763C"/>
    <w:rsid w:val="008E784D"/>
    <w:rsid w:val="008F0AD7"/>
    <w:rsid w:val="008F194A"/>
    <w:rsid w:val="008F2398"/>
    <w:rsid w:val="008F23EF"/>
    <w:rsid w:val="008F2D3F"/>
    <w:rsid w:val="008F3318"/>
    <w:rsid w:val="008F3E20"/>
    <w:rsid w:val="008F50BA"/>
    <w:rsid w:val="00906755"/>
    <w:rsid w:val="00906F3D"/>
    <w:rsid w:val="00907300"/>
    <w:rsid w:val="00912B93"/>
    <w:rsid w:val="00913DDB"/>
    <w:rsid w:val="009202A1"/>
    <w:rsid w:val="0092035C"/>
    <w:rsid w:val="0092064F"/>
    <w:rsid w:val="00924024"/>
    <w:rsid w:val="00924AF8"/>
    <w:rsid w:val="009253B8"/>
    <w:rsid w:val="009256DA"/>
    <w:rsid w:val="00925D84"/>
    <w:rsid w:val="00930A7B"/>
    <w:rsid w:val="00934779"/>
    <w:rsid w:val="00936CB7"/>
    <w:rsid w:val="00936E12"/>
    <w:rsid w:val="00937609"/>
    <w:rsid w:val="009376FD"/>
    <w:rsid w:val="00944BD8"/>
    <w:rsid w:val="009454A9"/>
    <w:rsid w:val="00952C7C"/>
    <w:rsid w:val="00953F50"/>
    <w:rsid w:val="00957121"/>
    <w:rsid w:val="0096044E"/>
    <w:rsid w:val="009616F4"/>
    <w:rsid w:val="00962275"/>
    <w:rsid w:val="009622A7"/>
    <w:rsid w:val="009628E5"/>
    <w:rsid w:val="00963958"/>
    <w:rsid w:val="00966CAA"/>
    <w:rsid w:val="00966FED"/>
    <w:rsid w:val="009672A7"/>
    <w:rsid w:val="00970C22"/>
    <w:rsid w:val="009723DC"/>
    <w:rsid w:val="00974563"/>
    <w:rsid w:val="009773BC"/>
    <w:rsid w:val="009810A0"/>
    <w:rsid w:val="00981735"/>
    <w:rsid w:val="00983A9E"/>
    <w:rsid w:val="00985BA9"/>
    <w:rsid w:val="0098699A"/>
    <w:rsid w:val="00987995"/>
    <w:rsid w:val="00990F6C"/>
    <w:rsid w:val="009945B2"/>
    <w:rsid w:val="00994614"/>
    <w:rsid w:val="0099498D"/>
    <w:rsid w:val="00994B81"/>
    <w:rsid w:val="009962BB"/>
    <w:rsid w:val="009A2982"/>
    <w:rsid w:val="009A37C9"/>
    <w:rsid w:val="009A410A"/>
    <w:rsid w:val="009A695E"/>
    <w:rsid w:val="009B19C6"/>
    <w:rsid w:val="009B2CAD"/>
    <w:rsid w:val="009B3C06"/>
    <w:rsid w:val="009B4D8A"/>
    <w:rsid w:val="009B5F5F"/>
    <w:rsid w:val="009C09C7"/>
    <w:rsid w:val="009C281E"/>
    <w:rsid w:val="009C3E8E"/>
    <w:rsid w:val="009C5690"/>
    <w:rsid w:val="009C6CEB"/>
    <w:rsid w:val="009D0773"/>
    <w:rsid w:val="009D1637"/>
    <w:rsid w:val="009D1B1D"/>
    <w:rsid w:val="009D1B4D"/>
    <w:rsid w:val="009D1FDE"/>
    <w:rsid w:val="009D38D4"/>
    <w:rsid w:val="009D617A"/>
    <w:rsid w:val="009D70E4"/>
    <w:rsid w:val="009D7601"/>
    <w:rsid w:val="009D789C"/>
    <w:rsid w:val="009E0D19"/>
    <w:rsid w:val="009E2703"/>
    <w:rsid w:val="009E2C45"/>
    <w:rsid w:val="009E3004"/>
    <w:rsid w:val="009E3583"/>
    <w:rsid w:val="009E3EB4"/>
    <w:rsid w:val="009E4F31"/>
    <w:rsid w:val="009E780B"/>
    <w:rsid w:val="009F3C65"/>
    <w:rsid w:val="009F3F6B"/>
    <w:rsid w:val="00A00871"/>
    <w:rsid w:val="00A041F2"/>
    <w:rsid w:val="00A07669"/>
    <w:rsid w:val="00A10361"/>
    <w:rsid w:val="00A117D2"/>
    <w:rsid w:val="00A1296B"/>
    <w:rsid w:val="00A12ABF"/>
    <w:rsid w:val="00A13617"/>
    <w:rsid w:val="00A14B13"/>
    <w:rsid w:val="00A15691"/>
    <w:rsid w:val="00A16F15"/>
    <w:rsid w:val="00A1728A"/>
    <w:rsid w:val="00A216D6"/>
    <w:rsid w:val="00A21F22"/>
    <w:rsid w:val="00A24488"/>
    <w:rsid w:val="00A24652"/>
    <w:rsid w:val="00A252DE"/>
    <w:rsid w:val="00A25570"/>
    <w:rsid w:val="00A2699D"/>
    <w:rsid w:val="00A31365"/>
    <w:rsid w:val="00A31DE5"/>
    <w:rsid w:val="00A34B74"/>
    <w:rsid w:val="00A35FDF"/>
    <w:rsid w:val="00A373FD"/>
    <w:rsid w:val="00A37B73"/>
    <w:rsid w:val="00A42810"/>
    <w:rsid w:val="00A42A3E"/>
    <w:rsid w:val="00A457FC"/>
    <w:rsid w:val="00A51A11"/>
    <w:rsid w:val="00A51F6E"/>
    <w:rsid w:val="00A6035D"/>
    <w:rsid w:val="00A609F7"/>
    <w:rsid w:val="00A61872"/>
    <w:rsid w:val="00A64B85"/>
    <w:rsid w:val="00A656A7"/>
    <w:rsid w:val="00A675CF"/>
    <w:rsid w:val="00A71D0C"/>
    <w:rsid w:val="00A720FE"/>
    <w:rsid w:val="00A74D3F"/>
    <w:rsid w:val="00A801AC"/>
    <w:rsid w:val="00A804A5"/>
    <w:rsid w:val="00A82F47"/>
    <w:rsid w:val="00A85876"/>
    <w:rsid w:val="00A87095"/>
    <w:rsid w:val="00A87FC4"/>
    <w:rsid w:val="00A93361"/>
    <w:rsid w:val="00A93778"/>
    <w:rsid w:val="00A972F2"/>
    <w:rsid w:val="00A97D0D"/>
    <w:rsid w:val="00AA0BC0"/>
    <w:rsid w:val="00AA7572"/>
    <w:rsid w:val="00AA7772"/>
    <w:rsid w:val="00AA79A4"/>
    <w:rsid w:val="00AB3191"/>
    <w:rsid w:val="00AB3739"/>
    <w:rsid w:val="00AB3F45"/>
    <w:rsid w:val="00AB44C1"/>
    <w:rsid w:val="00AB5C3D"/>
    <w:rsid w:val="00AB61FF"/>
    <w:rsid w:val="00AB6D9A"/>
    <w:rsid w:val="00AB766E"/>
    <w:rsid w:val="00AB7C4B"/>
    <w:rsid w:val="00AC5A5F"/>
    <w:rsid w:val="00AC6ED2"/>
    <w:rsid w:val="00AD0338"/>
    <w:rsid w:val="00AD1660"/>
    <w:rsid w:val="00AD204D"/>
    <w:rsid w:val="00AD6A30"/>
    <w:rsid w:val="00AD7482"/>
    <w:rsid w:val="00AD74C2"/>
    <w:rsid w:val="00AE0754"/>
    <w:rsid w:val="00AE2052"/>
    <w:rsid w:val="00AE2402"/>
    <w:rsid w:val="00AE32C1"/>
    <w:rsid w:val="00AE4255"/>
    <w:rsid w:val="00AE6D18"/>
    <w:rsid w:val="00AE7F1C"/>
    <w:rsid w:val="00AF153B"/>
    <w:rsid w:val="00AF187D"/>
    <w:rsid w:val="00AF2EA9"/>
    <w:rsid w:val="00AF3C6F"/>
    <w:rsid w:val="00AF6922"/>
    <w:rsid w:val="00AF6C4A"/>
    <w:rsid w:val="00AF6FD8"/>
    <w:rsid w:val="00AF76FA"/>
    <w:rsid w:val="00B020AA"/>
    <w:rsid w:val="00B029FB"/>
    <w:rsid w:val="00B053B4"/>
    <w:rsid w:val="00B069D5"/>
    <w:rsid w:val="00B06F85"/>
    <w:rsid w:val="00B108BE"/>
    <w:rsid w:val="00B13F7E"/>
    <w:rsid w:val="00B145FA"/>
    <w:rsid w:val="00B20D16"/>
    <w:rsid w:val="00B20E9C"/>
    <w:rsid w:val="00B22D0B"/>
    <w:rsid w:val="00B22F39"/>
    <w:rsid w:val="00B26EB4"/>
    <w:rsid w:val="00B27896"/>
    <w:rsid w:val="00B3314E"/>
    <w:rsid w:val="00B33546"/>
    <w:rsid w:val="00B33988"/>
    <w:rsid w:val="00B352D6"/>
    <w:rsid w:val="00B353EA"/>
    <w:rsid w:val="00B354FC"/>
    <w:rsid w:val="00B3660B"/>
    <w:rsid w:val="00B41CA3"/>
    <w:rsid w:val="00B42120"/>
    <w:rsid w:val="00B42FBE"/>
    <w:rsid w:val="00B43278"/>
    <w:rsid w:val="00B56494"/>
    <w:rsid w:val="00B620A5"/>
    <w:rsid w:val="00B626AD"/>
    <w:rsid w:val="00B6445D"/>
    <w:rsid w:val="00B64F21"/>
    <w:rsid w:val="00B65DD3"/>
    <w:rsid w:val="00B66BB5"/>
    <w:rsid w:val="00B67BDA"/>
    <w:rsid w:val="00B71710"/>
    <w:rsid w:val="00B72283"/>
    <w:rsid w:val="00B741A4"/>
    <w:rsid w:val="00B74CD2"/>
    <w:rsid w:val="00B75FA4"/>
    <w:rsid w:val="00B777C7"/>
    <w:rsid w:val="00B8295E"/>
    <w:rsid w:val="00B849B4"/>
    <w:rsid w:val="00B85AAD"/>
    <w:rsid w:val="00B8609C"/>
    <w:rsid w:val="00B86F9D"/>
    <w:rsid w:val="00B87015"/>
    <w:rsid w:val="00B92DAA"/>
    <w:rsid w:val="00B944D2"/>
    <w:rsid w:val="00B950F2"/>
    <w:rsid w:val="00B95B2D"/>
    <w:rsid w:val="00B97A1A"/>
    <w:rsid w:val="00B97C7A"/>
    <w:rsid w:val="00BA08B2"/>
    <w:rsid w:val="00BA0B33"/>
    <w:rsid w:val="00BA3830"/>
    <w:rsid w:val="00BA484B"/>
    <w:rsid w:val="00BA497D"/>
    <w:rsid w:val="00BA6D08"/>
    <w:rsid w:val="00BA76B7"/>
    <w:rsid w:val="00BB13BD"/>
    <w:rsid w:val="00BB14B2"/>
    <w:rsid w:val="00BB1C23"/>
    <w:rsid w:val="00BB3BB8"/>
    <w:rsid w:val="00BB3F6F"/>
    <w:rsid w:val="00BB54A4"/>
    <w:rsid w:val="00BB6D07"/>
    <w:rsid w:val="00BC098D"/>
    <w:rsid w:val="00BC2D22"/>
    <w:rsid w:val="00BC4A6D"/>
    <w:rsid w:val="00BC7295"/>
    <w:rsid w:val="00BD1427"/>
    <w:rsid w:val="00BD1827"/>
    <w:rsid w:val="00BD217A"/>
    <w:rsid w:val="00BD312B"/>
    <w:rsid w:val="00BD357F"/>
    <w:rsid w:val="00BD396B"/>
    <w:rsid w:val="00BD6BE6"/>
    <w:rsid w:val="00BD79B9"/>
    <w:rsid w:val="00BD7CCA"/>
    <w:rsid w:val="00BE0B48"/>
    <w:rsid w:val="00BE175D"/>
    <w:rsid w:val="00BE1A66"/>
    <w:rsid w:val="00BE4D29"/>
    <w:rsid w:val="00BE516F"/>
    <w:rsid w:val="00BE5D40"/>
    <w:rsid w:val="00BE78B0"/>
    <w:rsid w:val="00BF0805"/>
    <w:rsid w:val="00BF0C51"/>
    <w:rsid w:val="00BF1236"/>
    <w:rsid w:val="00BF16AA"/>
    <w:rsid w:val="00BF1FAB"/>
    <w:rsid w:val="00BF2665"/>
    <w:rsid w:val="00BF38B4"/>
    <w:rsid w:val="00BF75A2"/>
    <w:rsid w:val="00BF7FF1"/>
    <w:rsid w:val="00C0014C"/>
    <w:rsid w:val="00C01622"/>
    <w:rsid w:val="00C01E21"/>
    <w:rsid w:val="00C044DF"/>
    <w:rsid w:val="00C06212"/>
    <w:rsid w:val="00C21822"/>
    <w:rsid w:val="00C22E92"/>
    <w:rsid w:val="00C231A3"/>
    <w:rsid w:val="00C236FF"/>
    <w:rsid w:val="00C257C5"/>
    <w:rsid w:val="00C262E8"/>
    <w:rsid w:val="00C2775B"/>
    <w:rsid w:val="00C3092D"/>
    <w:rsid w:val="00C3108F"/>
    <w:rsid w:val="00C31E6A"/>
    <w:rsid w:val="00C33E97"/>
    <w:rsid w:val="00C34F79"/>
    <w:rsid w:val="00C35A2F"/>
    <w:rsid w:val="00C35D5E"/>
    <w:rsid w:val="00C3678A"/>
    <w:rsid w:val="00C37A85"/>
    <w:rsid w:val="00C426B5"/>
    <w:rsid w:val="00C43B4E"/>
    <w:rsid w:val="00C44699"/>
    <w:rsid w:val="00C4636F"/>
    <w:rsid w:val="00C47C41"/>
    <w:rsid w:val="00C518EA"/>
    <w:rsid w:val="00C521B0"/>
    <w:rsid w:val="00C5305F"/>
    <w:rsid w:val="00C53D6C"/>
    <w:rsid w:val="00C55602"/>
    <w:rsid w:val="00C55A74"/>
    <w:rsid w:val="00C66504"/>
    <w:rsid w:val="00C66D0B"/>
    <w:rsid w:val="00C66E21"/>
    <w:rsid w:val="00C710E0"/>
    <w:rsid w:val="00C73441"/>
    <w:rsid w:val="00C74412"/>
    <w:rsid w:val="00C74493"/>
    <w:rsid w:val="00C74DB0"/>
    <w:rsid w:val="00C7597C"/>
    <w:rsid w:val="00C7600C"/>
    <w:rsid w:val="00C81C7B"/>
    <w:rsid w:val="00C81CAB"/>
    <w:rsid w:val="00C81D6A"/>
    <w:rsid w:val="00C8516E"/>
    <w:rsid w:val="00C868CC"/>
    <w:rsid w:val="00C87E04"/>
    <w:rsid w:val="00C905C3"/>
    <w:rsid w:val="00C917E2"/>
    <w:rsid w:val="00C92A38"/>
    <w:rsid w:val="00C93C50"/>
    <w:rsid w:val="00C97306"/>
    <w:rsid w:val="00CA2E09"/>
    <w:rsid w:val="00CA5D37"/>
    <w:rsid w:val="00CA5E2D"/>
    <w:rsid w:val="00CB0080"/>
    <w:rsid w:val="00CB1219"/>
    <w:rsid w:val="00CB5EF9"/>
    <w:rsid w:val="00CB637A"/>
    <w:rsid w:val="00CB789E"/>
    <w:rsid w:val="00CC0C36"/>
    <w:rsid w:val="00CC3661"/>
    <w:rsid w:val="00CC48AD"/>
    <w:rsid w:val="00CD5903"/>
    <w:rsid w:val="00CD6150"/>
    <w:rsid w:val="00CE467C"/>
    <w:rsid w:val="00CE5AE8"/>
    <w:rsid w:val="00CE6712"/>
    <w:rsid w:val="00CE6C63"/>
    <w:rsid w:val="00CE783F"/>
    <w:rsid w:val="00CE7E7D"/>
    <w:rsid w:val="00CF0C0F"/>
    <w:rsid w:val="00CF1B91"/>
    <w:rsid w:val="00CF37FC"/>
    <w:rsid w:val="00CF3B1E"/>
    <w:rsid w:val="00CF3F36"/>
    <w:rsid w:val="00D0424D"/>
    <w:rsid w:val="00D047CA"/>
    <w:rsid w:val="00D04B2A"/>
    <w:rsid w:val="00D07914"/>
    <w:rsid w:val="00D07FE3"/>
    <w:rsid w:val="00D11A62"/>
    <w:rsid w:val="00D11E89"/>
    <w:rsid w:val="00D15530"/>
    <w:rsid w:val="00D210B2"/>
    <w:rsid w:val="00D213E3"/>
    <w:rsid w:val="00D22CE3"/>
    <w:rsid w:val="00D25C00"/>
    <w:rsid w:val="00D26986"/>
    <w:rsid w:val="00D27049"/>
    <w:rsid w:val="00D30777"/>
    <w:rsid w:val="00D30CE7"/>
    <w:rsid w:val="00D326BF"/>
    <w:rsid w:val="00D329C4"/>
    <w:rsid w:val="00D3345F"/>
    <w:rsid w:val="00D35CDE"/>
    <w:rsid w:val="00D369AB"/>
    <w:rsid w:val="00D373CB"/>
    <w:rsid w:val="00D37D6C"/>
    <w:rsid w:val="00D40144"/>
    <w:rsid w:val="00D415B8"/>
    <w:rsid w:val="00D439DB"/>
    <w:rsid w:val="00D4549B"/>
    <w:rsid w:val="00D478DB"/>
    <w:rsid w:val="00D50141"/>
    <w:rsid w:val="00D50B5E"/>
    <w:rsid w:val="00D50C6B"/>
    <w:rsid w:val="00D51AFD"/>
    <w:rsid w:val="00D529AF"/>
    <w:rsid w:val="00D53CB8"/>
    <w:rsid w:val="00D549AD"/>
    <w:rsid w:val="00D54F3A"/>
    <w:rsid w:val="00D556F4"/>
    <w:rsid w:val="00D560E6"/>
    <w:rsid w:val="00D66EE7"/>
    <w:rsid w:val="00D70A11"/>
    <w:rsid w:val="00D71C9B"/>
    <w:rsid w:val="00D71F2D"/>
    <w:rsid w:val="00D73AF5"/>
    <w:rsid w:val="00D73E2D"/>
    <w:rsid w:val="00D744EC"/>
    <w:rsid w:val="00D75435"/>
    <w:rsid w:val="00D77083"/>
    <w:rsid w:val="00D777C1"/>
    <w:rsid w:val="00D825E8"/>
    <w:rsid w:val="00D83728"/>
    <w:rsid w:val="00D83F7A"/>
    <w:rsid w:val="00D879C0"/>
    <w:rsid w:val="00D87E24"/>
    <w:rsid w:val="00D92AEF"/>
    <w:rsid w:val="00D93360"/>
    <w:rsid w:val="00D9530F"/>
    <w:rsid w:val="00DA07A4"/>
    <w:rsid w:val="00DA3E1F"/>
    <w:rsid w:val="00DA4284"/>
    <w:rsid w:val="00DA4428"/>
    <w:rsid w:val="00DA4CA9"/>
    <w:rsid w:val="00DA59F4"/>
    <w:rsid w:val="00DB2093"/>
    <w:rsid w:val="00DB3355"/>
    <w:rsid w:val="00DB36C0"/>
    <w:rsid w:val="00DB5B17"/>
    <w:rsid w:val="00DB5F78"/>
    <w:rsid w:val="00DC0AA1"/>
    <w:rsid w:val="00DC0CA5"/>
    <w:rsid w:val="00DC15E8"/>
    <w:rsid w:val="00DC29A3"/>
    <w:rsid w:val="00DC2A44"/>
    <w:rsid w:val="00DC2E43"/>
    <w:rsid w:val="00DC323C"/>
    <w:rsid w:val="00DC4268"/>
    <w:rsid w:val="00DC4CA3"/>
    <w:rsid w:val="00DC4D81"/>
    <w:rsid w:val="00DC5E9D"/>
    <w:rsid w:val="00DC6C2C"/>
    <w:rsid w:val="00DC7136"/>
    <w:rsid w:val="00DC72ED"/>
    <w:rsid w:val="00DC7576"/>
    <w:rsid w:val="00DC7804"/>
    <w:rsid w:val="00DC7A06"/>
    <w:rsid w:val="00DD0F0B"/>
    <w:rsid w:val="00DD129D"/>
    <w:rsid w:val="00DD18FB"/>
    <w:rsid w:val="00DD1A12"/>
    <w:rsid w:val="00DD1F37"/>
    <w:rsid w:val="00DD65F5"/>
    <w:rsid w:val="00DD6E9E"/>
    <w:rsid w:val="00DE0262"/>
    <w:rsid w:val="00DE1C8E"/>
    <w:rsid w:val="00DE2D98"/>
    <w:rsid w:val="00DE3BA2"/>
    <w:rsid w:val="00DF1039"/>
    <w:rsid w:val="00DF309A"/>
    <w:rsid w:val="00DF59BB"/>
    <w:rsid w:val="00DF7CBF"/>
    <w:rsid w:val="00E00592"/>
    <w:rsid w:val="00E03153"/>
    <w:rsid w:val="00E034E4"/>
    <w:rsid w:val="00E060AE"/>
    <w:rsid w:val="00E07055"/>
    <w:rsid w:val="00E13BB3"/>
    <w:rsid w:val="00E179FF"/>
    <w:rsid w:val="00E239D3"/>
    <w:rsid w:val="00E2517C"/>
    <w:rsid w:val="00E279B2"/>
    <w:rsid w:val="00E32B75"/>
    <w:rsid w:val="00E331C2"/>
    <w:rsid w:val="00E3535C"/>
    <w:rsid w:val="00E353C2"/>
    <w:rsid w:val="00E37B2D"/>
    <w:rsid w:val="00E4066A"/>
    <w:rsid w:val="00E411AD"/>
    <w:rsid w:val="00E42D7E"/>
    <w:rsid w:val="00E44F58"/>
    <w:rsid w:val="00E45B35"/>
    <w:rsid w:val="00E529C0"/>
    <w:rsid w:val="00E53435"/>
    <w:rsid w:val="00E5691A"/>
    <w:rsid w:val="00E60104"/>
    <w:rsid w:val="00E60C5F"/>
    <w:rsid w:val="00E62725"/>
    <w:rsid w:val="00E66114"/>
    <w:rsid w:val="00E66434"/>
    <w:rsid w:val="00E70205"/>
    <w:rsid w:val="00E71248"/>
    <w:rsid w:val="00E72332"/>
    <w:rsid w:val="00E77905"/>
    <w:rsid w:val="00E80F6E"/>
    <w:rsid w:val="00E82821"/>
    <w:rsid w:val="00E832EF"/>
    <w:rsid w:val="00E848EB"/>
    <w:rsid w:val="00E86106"/>
    <w:rsid w:val="00E8661D"/>
    <w:rsid w:val="00E86ED3"/>
    <w:rsid w:val="00E921A6"/>
    <w:rsid w:val="00E92B8E"/>
    <w:rsid w:val="00E94D37"/>
    <w:rsid w:val="00E961A6"/>
    <w:rsid w:val="00E96CBA"/>
    <w:rsid w:val="00E971C4"/>
    <w:rsid w:val="00E978B8"/>
    <w:rsid w:val="00EA08B8"/>
    <w:rsid w:val="00EA1251"/>
    <w:rsid w:val="00EA1AFB"/>
    <w:rsid w:val="00EA24DE"/>
    <w:rsid w:val="00EA7108"/>
    <w:rsid w:val="00EB5635"/>
    <w:rsid w:val="00EC0980"/>
    <w:rsid w:val="00EC1C93"/>
    <w:rsid w:val="00EC39B5"/>
    <w:rsid w:val="00EC560A"/>
    <w:rsid w:val="00ED26D8"/>
    <w:rsid w:val="00ED3D5F"/>
    <w:rsid w:val="00ED3E5E"/>
    <w:rsid w:val="00ED4158"/>
    <w:rsid w:val="00ED6F03"/>
    <w:rsid w:val="00ED7F91"/>
    <w:rsid w:val="00EE05CA"/>
    <w:rsid w:val="00EE0753"/>
    <w:rsid w:val="00EE09AC"/>
    <w:rsid w:val="00EE1862"/>
    <w:rsid w:val="00EE3E4E"/>
    <w:rsid w:val="00EE6D11"/>
    <w:rsid w:val="00EF057E"/>
    <w:rsid w:val="00EF1110"/>
    <w:rsid w:val="00EF227B"/>
    <w:rsid w:val="00EF2338"/>
    <w:rsid w:val="00EF3D82"/>
    <w:rsid w:val="00EF60CC"/>
    <w:rsid w:val="00F00909"/>
    <w:rsid w:val="00F01177"/>
    <w:rsid w:val="00F01A09"/>
    <w:rsid w:val="00F01E77"/>
    <w:rsid w:val="00F02342"/>
    <w:rsid w:val="00F02BBA"/>
    <w:rsid w:val="00F035AF"/>
    <w:rsid w:val="00F037AA"/>
    <w:rsid w:val="00F03938"/>
    <w:rsid w:val="00F04428"/>
    <w:rsid w:val="00F050C2"/>
    <w:rsid w:val="00F14CFF"/>
    <w:rsid w:val="00F161CE"/>
    <w:rsid w:val="00F175C8"/>
    <w:rsid w:val="00F1769F"/>
    <w:rsid w:val="00F17A89"/>
    <w:rsid w:val="00F22E67"/>
    <w:rsid w:val="00F23463"/>
    <w:rsid w:val="00F24426"/>
    <w:rsid w:val="00F244D4"/>
    <w:rsid w:val="00F24ACF"/>
    <w:rsid w:val="00F25E5E"/>
    <w:rsid w:val="00F265C3"/>
    <w:rsid w:val="00F26B43"/>
    <w:rsid w:val="00F3204B"/>
    <w:rsid w:val="00F32640"/>
    <w:rsid w:val="00F3373D"/>
    <w:rsid w:val="00F3499B"/>
    <w:rsid w:val="00F35129"/>
    <w:rsid w:val="00F44416"/>
    <w:rsid w:val="00F45A79"/>
    <w:rsid w:val="00F464C9"/>
    <w:rsid w:val="00F515F9"/>
    <w:rsid w:val="00F51DB0"/>
    <w:rsid w:val="00F51FE8"/>
    <w:rsid w:val="00F5380F"/>
    <w:rsid w:val="00F55A75"/>
    <w:rsid w:val="00F55E2C"/>
    <w:rsid w:val="00F56F6E"/>
    <w:rsid w:val="00F60059"/>
    <w:rsid w:val="00F60C7D"/>
    <w:rsid w:val="00F6198C"/>
    <w:rsid w:val="00F6249A"/>
    <w:rsid w:val="00F62B47"/>
    <w:rsid w:val="00F648BC"/>
    <w:rsid w:val="00F66486"/>
    <w:rsid w:val="00F665C9"/>
    <w:rsid w:val="00F671CD"/>
    <w:rsid w:val="00F67EA7"/>
    <w:rsid w:val="00F70D1F"/>
    <w:rsid w:val="00F71CF3"/>
    <w:rsid w:val="00F71F43"/>
    <w:rsid w:val="00F75073"/>
    <w:rsid w:val="00F75439"/>
    <w:rsid w:val="00F75B80"/>
    <w:rsid w:val="00F762AA"/>
    <w:rsid w:val="00F80956"/>
    <w:rsid w:val="00F81456"/>
    <w:rsid w:val="00F8171D"/>
    <w:rsid w:val="00F837A9"/>
    <w:rsid w:val="00F84483"/>
    <w:rsid w:val="00F85E74"/>
    <w:rsid w:val="00F9291D"/>
    <w:rsid w:val="00F93752"/>
    <w:rsid w:val="00F944FD"/>
    <w:rsid w:val="00F94AF4"/>
    <w:rsid w:val="00FA001E"/>
    <w:rsid w:val="00FA07D9"/>
    <w:rsid w:val="00FA1D50"/>
    <w:rsid w:val="00FA1E7F"/>
    <w:rsid w:val="00FA3004"/>
    <w:rsid w:val="00FA56F2"/>
    <w:rsid w:val="00FA59F5"/>
    <w:rsid w:val="00FB2E08"/>
    <w:rsid w:val="00FB3D2F"/>
    <w:rsid w:val="00FB4764"/>
    <w:rsid w:val="00FB6469"/>
    <w:rsid w:val="00FB75BA"/>
    <w:rsid w:val="00FB7CC8"/>
    <w:rsid w:val="00FC2F80"/>
    <w:rsid w:val="00FC3739"/>
    <w:rsid w:val="00FC3DB8"/>
    <w:rsid w:val="00FC4002"/>
    <w:rsid w:val="00FC4A49"/>
    <w:rsid w:val="00FC4D44"/>
    <w:rsid w:val="00FC5742"/>
    <w:rsid w:val="00FD0A7D"/>
    <w:rsid w:val="00FD0D1F"/>
    <w:rsid w:val="00FD1507"/>
    <w:rsid w:val="00FD6883"/>
    <w:rsid w:val="00FD7A24"/>
    <w:rsid w:val="00FE2EF2"/>
    <w:rsid w:val="00FE3895"/>
    <w:rsid w:val="00FE4415"/>
    <w:rsid w:val="00FE5B1E"/>
    <w:rsid w:val="00FE7547"/>
    <w:rsid w:val="00FF0AF1"/>
    <w:rsid w:val="00FF0E81"/>
    <w:rsid w:val="00FF1B26"/>
    <w:rsid w:val="00FF473F"/>
    <w:rsid w:val="00FF51C0"/>
    <w:rsid w:val="00FF61DD"/>
    <w:rsid w:val="00FF7908"/>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3A9D"/>
  <w15:docId w15:val="{F983A2BE-E44B-47CA-95CC-4528E74F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56BC"/>
  </w:style>
  <w:style w:type="paragraph" w:styleId="Kop3">
    <w:name w:val="heading 3"/>
    <w:basedOn w:val="Standaard"/>
    <w:next w:val="Standaard"/>
    <w:link w:val="Kop3Char"/>
    <w:uiPriority w:val="9"/>
    <w:semiHidden/>
    <w:unhideWhenUsed/>
    <w:qFormat/>
    <w:rsid w:val="00335D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56BC"/>
    <w:pPr>
      <w:ind w:left="720"/>
      <w:contextualSpacing/>
    </w:pPr>
  </w:style>
  <w:style w:type="character" w:styleId="Hyperlink">
    <w:name w:val="Hyperlink"/>
    <w:basedOn w:val="Standaardalinea-lettertype"/>
    <w:uiPriority w:val="99"/>
    <w:unhideWhenUsed/>
    <w:rsid w:val="002E1655"/>
    <w:rPr>
      <w:color w:val="0000FF"/>
      <w:u w:val="single"/>
    </w:rPr>
  </w:style>
  <w:style w:type="paragraph" w:styleId="Ballontekst">
    <w:name w:val="Balloon Text"/>
    <w:basedOn w:val="Standaard"/>
    <w:link w:val="BallontekstChar"/>
    <w:uiPriority w:val="99"/>
    <w:semiHidden/>
    <w:unhideWhenUsed/>
    <w:rsid w:val="00B860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609C"/>
    <w:rPr>
      <w:rFonts w:ascii="Tahoma" w:hAnsi="Tahoma" w:cs="Tahoma"/>
      <w:sz w:val="16"/>
      <w:szCs w:val="16"/>
    </w:rPr>
  </w:style>
  <w:style w:type="character" w:customStyle="1" w:styleId="apple-converted-space">
    <w:name w:val="apple-converted-space"/>
    <w:basedOn w:val="Standaardalinea-lettertype"/>
    <w:rsid w:val="00E82821"/>
  </w:style>
  <w:style w:type="paragraph" w:styleId="Koptekst">
    <w:name w:val="header"/>
    <w:basedOn w:val="Standaard"/>
    <w:link w:val="KoptekstChar"/>
    <w:uiPriority w:val="99"/>
    <w:unhideWhenUsed/>
    <w:rsid w:val="00001C1C"/>
    <w:pPr>
      <w:tabs>
        <w:tab w:val="center" w:pos="4252"/>
        <w:tab w:val="right" w:pos="8504"/>
      </w:tabs>
      <w:spacing w:after="0" w:line="240" w:lineRule="auto"/>
    </w:pPr>
  </w:style>
  <w:style w:type="character" w:customStyle="1" w:styleId="KoptekstChar">
    <w:name w:val="Koptekst Char"/>
    <w:basedOn w:val="Standaardalinea-lettertype"/>
    <w:link w:val="Koptekst"/>
    <w:uiPriority w:val="99"/>
    <w:rsid w:val="00001C1C"/>
  </w:style>
  <w:style w:type="paragraph" w:styleId="Voettekst">
    <w:name w:val="footer"/>
    <w:basedOn w:val="Standaard"/>
    <w:link w:val="VoettekstChar"/>
    <w:uiPriority w:val="99"/>
    <w:unhideWhenUsed/>
    <w:rsid w:val="00001C1C"/>
    <w:pPr>
      <w:tabs>
        <w:tab w:val="center" w:pos="4252"/>
        <w:tab w:val="right" w:pos="8504"/>
      </w:tabs>
      <w:spacing w:after="0" w:line="240" w:lineRule="auto"/>
    </w:pPr>
  </w:style>
  <w:style w:type="character" w:customStyle="1" w:styleId="VoettekstChar">
    <w:name w:val="Voettekst Char"/>
    <w:basedOn w:val="Standaardalinea-lettertype"/>
    <w:link w:val="Voettekst"/>
    <w:uiPriority w:val="99"/>
    <w:rsid w:val="00001C1C"/>
  </w:style>
  <w:style w:type="character" w:styleId="Nadruk">
    <w:name w:val="Emphasis"/>
    <w:basedOn w:val="Standaardalinea-lettertype"/>
    <w:uiPriority w:val="20"/>
    <w:qFormat/>
    <w:rsid w:val="00B352D6"/>
    <w:rPr>
      <w:i/>
      <w:iCs/>
    </w:rPr>
  </w:style>
  <w:style w:type="paragraph" w:styleId="Normaalweb">
    <w:name w:val="Normal (Web)"/>
    <w:basedOn w:val="Standaard"/>
    <w:uiPriority w:val="99"/>
    <w:semiHidden/>
    <w:unhideWhenUsed/>
    <w:rsid w:val="00DC0AA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C0AA1"/>
    <w:rPr>
      <w:b/>
      <w:bCs/>
    </w:rPr>
  </w:style>
  <w:style w:type="character" w:customStyle="1" w:styleId="highlight">
    <w:name w:val="highlight"/>
    <w:basedOn w:val="Standaardalinea-lettertype"/>
    <w:rsid w:val="0092035C"/>
  </w:style>
  <w:style w:type="character" w:customStyle="1" w:styleId="Kop3Char">
    <w:name w:val="Kop 3 Char"/>
    <w:basedOn w:val="Standaardalinea-lettertype"/>
    <w:link w:val="Kop3"/>
    <w:uiPriority w:val="9"/>
    <w:semiHidden/>
    <w:rsid w:val="00335DC5"/>
    <w:rPr>
      <w:rFonts w:asciiTheme="majorHAnsi" w:eastAsiaTheme="majorEastAsia" w:hAnsiTheme="majorHAnsi" w:cstheme="majorBidi"/>
      <w:color w:val="243F60" w:themeColor="accent1" w:themeShade="7F"/>
      <w:sz w:val="24"/>
      <w:szCs w:val="24"/>
    </w:rPr>
  </w:style>
  <w:style w:type="character" w:styleId="Onopgelostemelding">
    <w:name w:val="Unresolved Mention"/>
    <w:basedOn w:val="Standaardalinea-lettertype"/>
    <w:uiPriority w:val="99"/>
    <w:semiHidden/>
    <w:unhideWhenUsed/>
    <w:rsid w:val="006605DF"/>
    <w:rPr>
      <w:color w:val="605E5C"/>
      <w:shd w:val="clear" w:color="auto" w:fill="E1DFDD"/>
    </w:rPr>
  </w:style>
  <w:style w:type="paragraph" w:styleId="Voetnoottekst">
    <w:name w:val="footnote text"/>
    <w:basedOn w:val="Standaard"/>
    <w:link w:val="VoetnoottekstChar"/>
    <w:uiPriority w:val="99"/>
    <w:semiHidden/>
    <w:unhideWhenUsed/>
    <w:rsid w:val="00EE09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09AC"/>
    <w:rPr>
      <w:sz w:val="20"/>
      <w:szCs w:val="20"/>
    </w:rPr>
  </w:style>
  <w:style w:type="character" w:styleId="Voetnootmarkering">
    <w:name w:val="footnote reference"/>
    <w:basedOn w:val="Standaardalinea-lettertype"/>
    <w:uiPriority w:val="99"/>
    <w:semiHidden/>
    <w:unhideWhenUsed/>
    <w:rsid w:val="00EE0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2676">
      <w:bodyDiv w:val="1"/>
      <w:marLeft w:val="0"/>
      <w:marRight w:val="0"/>
      <w:marTop w:val="0"/>
      <w:marBottom w:val="0"/>
      <w:divBdr>
        <w:top w:val="none" w:sz="0" w:space="0" w:color="auto"/>
        <w:left w:val="none" w:sz="0" w:space="0" w:color="auto"/>
        <w:bottom w:val="none" w:sz="0" w:space="0" w:color="auto"/>
        <w:right w:val="none" w:sz="0" w:space="0" w:color="auto"/>
      </w:divBdr>
    </w:div>
    <w:div w:id="607932869">
      <w:bodyDiv w:val="1"/>
      <w:marLeft w:val="0"/>
      <w:marRight w:val="0"/>
      <w:marTop w:val="0"/>
      <w:marBottom w:val="0"/>
      <w:divBdr>
        <w:top w:val="none" w:sz="0" w:space="0" w:color="auto"/>
        <w:left w:val="none" w:sz="0" w:space="0" w:color="auto"/>
        <w:bottom w:val="none" w:sz="0" w:space="0" w:color="auto"/>
        <w:right w:val="none" w:sz="0" w:space="0" w:color="auto"/>
      </w:divBdr>
    </w:div>
    <w:div w:id="993680964">
      <w:bodyDiv w:val="1"/>
      <w:marLeft w:val="0"/>
      <w:marRight w:val="0"/>
      <w:marTop w:val="0"/>
      <w:marBottom w:val="0"/>
      <w:divBdr>
        <w:top w:val="none" w:sz="0" w:space="0" w:color="auto"/>
        <w:left w:val="none" w:sz="0" w:space="0" w:color="auto"/>
        <w:bottom w:val="none" w:sz="0" w:space="0" w:color="auto"/>
        <w:right w:val="none" w:sz="0" w:space="0" w:color="auto"/>
      </w:divBdr>
    </w:div>
    <w:div w:id="1112743083">
      <w:bodyDiv w:val="1"/>
      <w:marLeft w:val="0"/>
      <w:marRight w:val="0"/>
      <w:marTop w:val="0"/>
      <w:marBottom w:val="0"/>
      <w:divBdr>
        <w:top w:val="none" w:sz="0" w:space="0" w:color="auto"/>
        <w:left w:val="none" w:sz="0" w:space="0" w:color="auto"/>
        <w:bottom w:val="none" w:sz="0" w:space="0" w:color="auto"/>
        <w:right w:val="none" w:sz="0" w:space="0" w:color="auto"/>
      </w:divBdr>
    </w:div>
    <w:div w:id="1240794748">
      <w:bodyDiv w:val="1"/>
      <w:marLeft w:val="0"/>
      <w:marRight w:val="0"/>
      <w:marTop w:val="0"/>
      <w:marBottom w:val="0"/>
      <w:divBdr>
        <w:top w:val="none" w:sz="0" w:space="0" w:color="auto"/>
        <w:left w:val="none" w:sz="0" w:space="0" w:color="auto"/>
        <w:bottom w:val="none" w:sz="0" w:space="0" w:color="auto"/>
        <w:right w:val="none" w:sz="0" w:space="0" w:color="auto"/>
      </w:divBdr>
    </w:div>
    <w:div w:id="1359160945">
      <w:bodyDiv w:val="1"/>
      <w:marLeft w:val="0"/>
      <w:marRight w:val="0"/>
      <w:marTop w:val="0"/>
      <w:marBottom w:val="0"/>
      <w:divBdr>
        <w:top w:val="none" w:sz="0" w:space="0" w:color="auto"/>
        <w:left w:val="none" w:sz="0" w:space="0" w:color="auto"/>
        <w:bottom w:val="none" w:sz="0" w:space="0" w:color="auto"/>
        <w:right w:val="none" w:sz="0" w:space="0" w:color="auto"/>
      </w:divBdr>
    </w:div>
    <w:div w:id="1493182104">
      <w:bodyDiv w:val="1"/>
      <w:marLeft w:val="0"/>
      <w:marRight w:val="0"/>
      <w:marTop w:val="0"/>
      <w:marBottom w:val="0"/>
      <w:divBdr>
        <w:top w:val="none" w:sz="0" w:space="0" w:color="auto"/>
        <w:left w:val="none" w:sz="0" w:space="0" w:color="auto"/>
        <w:bottom w:val="none" w:sz="0" w:space="0" w:color="auto"/>
        <w:right w:val="none" w:sz="0" w:space="0" w:color="auto"/>
      </w:divBdr>
    </w:div>
    <w:div w:id="1645619181">
      <w:bodyDiv w:val="1"/>
      <w:marLeft w:val="0"/>
      <w:marRight w:val="0"/>
      <w:marTop w:val="0"/>
      <w:marBottom w:val="0"/>
      <w:divBdr>
        <w:top w:val="none" w:sz="0" w:space="0" w:color="auto"/>
        <w:left w:val="none" w:sz="0" w:space="0" w:color="auto"/>
        <w:bottom w:val="none" w:sz="0" w:space="0" w:color="auto"/>
        <w:right w:val="none" w:sz="0" w:space="0" w:color="auto"/>
      </w:divBdr>
    </w:div>
    <w:div w:id="1688867461">
      <w:bodyDiv w:val="1"/>
      <w:marLeft w:val="0"/>
      <w:marRight w:val="0"/>
      <w:marTop w:val="0"/>
      <w:marBottom w:val="0"/>
      <w:divBdr>
        <w:top w:val="none" w:sz="0" w:space="0" w:color="auto"/>
        <w:left w:val="none" w:sz="0" w:space="0" w:color="auto"/>
        <w:bottom w:val="none" w:sz="0" w:space="0" w:color="auto"/>
        <w:right w:val="none" w:sz="0" w:space="0" w:color="auto"/>
      </w:divBdr>
    </w:div>
    <w:div w:id="19808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G!1617636.2</documentid>
  <senderid>MAR.CONDE_HR</senderid>
  <senderemail>MAR.CONDE@HOYNGROKH.COM</senderemail>
  <lastmodified>2024-06-12T13:13:00.0000000+02:00</lastmodified>
  <database>G</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CD2E-D0AA-4A68-8CF0-2B7CB43803AB}">
  <ds:schemaRefs>
    <ds:schemaRef ds:uri="http://www.imanage.com/work/xmlschema"/>
  </ds:schemaRefs>
</ds:datastoreItem>
</file>

<file path=customXml/itemProps2.xml><?xml version="1.0" encoding="utf-8"?>
<ds:datastoreItem xmlns:ds="http://schemas.openxmlformats.org/officeDocument/2006/customXml" ds:itemID="{FBB0A606-B6F1-4CF4-8551-9F3EBADA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10394</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Gatzos</dc:creator>
  <cp:keywords>, docId:29B8AFE84A07293677215EDAB9DED19D</cp:keywords>
  <cp:lastModifiedBy>Ann van den Berg</cp:lastModifiedBy>
  <cp:revision>2</cp:revision>
  <cp:lastPrinted>2023-02-21T11:40:00Z</cp:lastPrinted>
  <dcterms:created xsi:type="dcterms:W3CDTF">2024-06-13T15:34:00Z</dcterms:created>
  <dcterms:modified xsi:type="dcterms:W3CDTF">2024-06-13T15:34:00Z</dcterms:modified>
</cp:coreProperties>
</file>